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4F3F8">
      <w:pPr>
        <w:jc w:val="center"/>
        <w:rPr>
          <w:rFonts w:hint="eastAsia"/>
          <w:b/>
          <w:bCs/>
          <w:color w:val="auto"/>
          <w:sz w:val="24"/>
          <w:szCs w:val="24"/>
          <w:highlight w:val="none"/>
          <w:lang w:val="en-US" w:eastAsia="zh-CN"/>
        </w:rPr>
      </w:pPr>
    </w:p>
    <w:p w14:paraId="4C1BC997">
      <w:pPr>
        <w:jc w:val="center"/>
        <w:rPr>
          <w:rFonts w:hint="eastAsia"/>
          <w:b/>
          <w:bCs/>
          <w:color w:val="auto"/>
          <w:sz w:val="24"/>
          <w:szCs w:val="24"/>
          <w:highlight w:val="none"/>
          <w:lang w:val="en-US" w:eastAsia="zh-CN"/>
        </w:rPr>
      </w:pPr>
    </w:p>
    <w:p w14:paraId="5F1A5EBD">
      <w:pPr>
        <w:jc w:val="center"/>
        <w:rPr>
          <w:rFonts w:ascii="Times New Roman" w:hAnsi="Times New Roman"/>
          <w:b/>
          <w:sz w:val="44"/>
          <w:szCs w:val="44"/>
          <w:highlight w:val="none"/>
        </w:rPr>
      </w:pPr>
      <w:r>
        <w:rPr>
          <w:rFonts w:hint="eastAsia"/>
          <w:b/>
          <w:sz w:val="44"/>
          <w:szCs w:val="44"/>
          <w:highlight w:val="none"/>
          <w:lang w:val="en-US" w:eastAsia="zh-CN"/>
        </w:rPr>
        <w:t>湖南省自然科学奖</w:t>
      </w:r>
      <w:r>
        <w:rPr>
          <w:rFonts w:ascii="Times New Roman" w:hAnsi="Times New Roman"/>
          <w:b/>
          <w:sz w:val="44"/>
          <w:szCs w:val="44"/>
          <w:highlight w:val="none"/>
        </w:rPr>
        <w:t>提名</w:t>
      </w:r>
      <w:r>
        <w:rPr>
          <w:rFonts w:hint="eastAsia"/>
          <w:b/>
          <w:sz w:val="44"/>
          <w:szCs w:val="44"/>
          <w:highlight w:val="none"/>
          <w:lang w:val="en-US" w:eastAsia="zh-CN"/>
        </w:rPr>
        <w:t>项目</w:t>
      </w:r>
      <w:r>
        <w:rPr>
          <w:rFonts w:ascii="Times New Roman" w:hAnsi="Times New Roman"/>
          <w:b/>
          <w:sz w:val="44"/>
          <w:szCs w:val="44"/>
          <w:highlight w:val="none"/>
        </w:rPr>
        <w:t>公示内容</w:t>
      </w:r>
    </w:p>
    <w:p w14:paraId="0D301462">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宋体" w:cs="Times New Roman"/>
          <w:sz w:val="28"/>
          <w:szCs w:val="28"/>
          <w:highlight w:val="none"/>
          <w:lang w:val="en-US" w:eastAsia="zh-CN"/>
        </w:rPr>
      </w:pPr>
      <w:r>
        <w:rPr>
          <w:rFonts w:ascii="宋体" w:hAnsi="宋体" w:eastAsia="宋体"/>
          <w:color w:val="000000"/>
          <w:sz w:val="28"/>
          <w:highlight w:val="none"/>
        </w:rPr>
        <w:t>一、项目名称：镍基析氧催化剂工作态活性结构演变与稳定机制</w:t>
      </w:r>
    </w:p>
    <w:p w14:paraId="088AB2E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宋体" w:cs="Times New Roman"/>
          <w:b/>
          <w:bCs/>
          <w:sz w:val="28"/>
          <w:szCs w:val="28"/>
          <w:highlight w:val="none"/>
          <w:lang w:eastAsia="zh-CN"/>
        </w:rPr>
      </w:pPr>
      <w:r>
        <w:rPr>
          <w:rFonts w:ascii="Times New Roman" w:hAnsi="Times New Roman" w:eastAsia="宋体" w:cs="Times New Roman"/>
          <w:b/>
          <w:bCs/>
          <w:sz w:val="28"/>
          <w:szCs w:val="28"/>
          <w:highlight w:val="none"/>
        </w:rPr>
        <w:t>二、提名</w:t>
      </w:r>
      <w:r>
        <w:rPr>
          <w:rFonts w:hint="eastAsia" w:cs="Times New Roman"/>
          <w:b/>
          <w:bCs/>
          <w:sz w:val="28"/>
          <w:szCs w:val="28"/>
          <w:highlight w:val="none"/>
          <w:lang w:val="en-US" w:eastAsia="zh-CN"/>
        </w:rPr>
        <w:t>单位</w:t>
      </w:r>
      <w:r>
        <w:rPr>
          <w:rFonts w:ascii="Times New Roman" w:hAnsi="Times New Roman" w:eastAsia="宋体" w:cs="Times New Roman"/>
          <w:b/>
          <w:bCs/>
          <w:sz w:val="28"/>
          <w:szCs w:val="28"/>
          <w:highlight w:val="none"/>
        </w:rPr>
        <w:t>：</w:t>
      </w:r>
      <w:r>
        <w:rPr>
          <w:rFonts w:hint="eastAsia" w:cs="Times New Roman"/>
          <w:sz w:val="28"/>
          <w:szCs w:val="28"/>
          <w:highlight w:val="none"/>
          <w:lang w:val="en-US" w:eastAsia="zh-CN"/>
        </w:rPr>
        <w:t>中南大学</w:t>
      </w:r>
    </w:p>
    <w:p w14:paraId="74F4C2C1">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eastAsia" w:cs="Times New Roman"/>
          <w:color w:val="FF0000"/>
          <w:sz w:val="28"/>
          <w:szCs w:val="28"/>
          <w:highlight w:val="none"/>
          <w:lang w:val="en-US" w:eastAsia="zh-CN"/>
        </w:rPr>
      </w:pPr>
      <w:r>
        <w:rPr>
          <w:rFonts w:ascii="宋体" w:hAnsi="宋体" w:eastAsia="宋体"/>
          <w:color w:val="000000"/>
          <w:sz w:val="28"/>
          <w:highlight w:val="none"/>
        </w:rPr>
        <w:t>三、提名等级：</w:t>
      </w:r>
      <w:bookmarkStart w:id="0" w:name="_GoBack"/>
      <w:bookmarkEnd w:id="0"/>
      <w:r>
        <w:rPr>
          <w:rFonts w:ascii="宋体" w:hAnsi="宋体" w:eastAsia="宋体"/>
          <w:color w:val="000000"/>
          <w:sz w:val="28"/>
          <w:highlight w:val="none"/>
        </w:rPr>
        <w:t>二等奖</w:t>
      </w:r>
    </w:p>
    <w:p w14:paraId="2A0BEB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s="Times New Roman"/>
          <w:color w:val="FF0000"/>
          <w:sz w:val="28"/>
          <w:szCs w:val="28"/>
          <w:highlight w:val="none"/>
          <w:lang w:val="en-US" w:eastAsia="zh-CN"/>
        </w:rPr>
      </w:pPr>
      <w:r>
        <w:rPr>
          <w:rFonts w:hint="eastAsia" w:cs="Times New Roman"/>
          <w:b/>
          <w:bCs/>
          <w:sz w:val="28"/>
          <w:szCs w:val="28"/>
          <w:highlight w:val="none"/>
          <w:lang w:val="en-US" w:eastAsia="zh-CN"/>
        </w:rPr>
        <w:t>四、代表作（含论文、专著）目录</w:t>
      </w:r>
    </w:p>
    <w:tbl>
      <w:tblPr>
        <w:tblStyle w:val="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425"/>
        <w:gridCol w:w="900"/>
        <w:gridCol w:w="740"/>
        <w:gridCol w:w="867"/>
        <w:gridCol w:w="915"/>
        <w:gridCol w:w="1140"/>
        <w:gridCol w:w="1163"/>
        <w:gridCol w:w="735"/>
        <w:gridCol w:w="766"/>
        <w:gridCol w:w="1174"/>
      </w:tblGrid>
      <w:tr w14:paraId="7D9C9F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575" w:type="dxa"/>
            <w:noWrap w:val="0"/>
            <w:vAlign w:val="center"/>
          </w:tcPr>
          <w:p w14:paraId="76DFA516">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序号</w:t>
            </w:r>
          </w:p>
        </w:tc>
        <w:tc>
          <w:tcPr>
            <w:tcW w:w="1425" w:type="dxa"/>
            <w:noWrap w:val="0"/>
            <w:vAlign w:val="center"/>
          </w:tcPr>
          <w:p w14:paraId="7128B034">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hint="eastAsia" w:ascii="Times New Roman"/>
                <w:color w:val="auto"/>
                <w:sz w:val="21"/>
                <w:szCs w:val="28"/>
                <w:highlight w:val="none"/>
              </w:rPr>
              <w:t>代表作</w:t>
            </w:r>
            <w:r>
              <w:rPr>
                <w:rFonts w:ascii="Times New Roman"/>
                <w:color w:val="auto"/>
                <w:sz w:val="21"/>
                <w:szCs w:val="28"/>
                <w:highlight w:val="none"/>
              </w:rPr>
              <w:t>名称/刊名/作者</w:t>
            </w:r>
          </w:p>
        </w:tc>
        <w:tc>
          <w:tcPr>
            <w:tcW w:w="900" w:type="dxa"/>
            <w:noWrap w:val="0"/>
            <w:vAlign w:val="center"/>
          </w:tcPr>
          <w:p w14:paraId="38D39D8D">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年卷页码</w:t>
            </w:r>
          </w:p>
          <w:p w14:paraId="57A108B3">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（xx年xx卷</w:t>
            </w:r>
          </w:p>
          <w:p w14:paraId="458FB7F3">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xx页）</w:t>
            </w:r>
          </w:p>
        </w:tc>
        <w:tc>
          <w:tcPr>
            <w:tcW w:w="740" w:type="dxa"/>
            <w:noWrap w:val="0"/>
            <w:vAlign w:val="center"/>
          </w:tcPr>
          <w:p w14:paraId="1735A405">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发表时间</w:t>
            </w:r>
            <w:r>
              <w:rPr>
                <w:rFonts w:ascii="Times New Roman" w:eastAsia="黑体"/>
                <w:color w:val="auto"/>
                <w:sz w:val="21"/>
                <w:szCs w:val="28"/>
                <w:highlight w:val="none"/>
              </w:rPr>
              <w:t>（</w:t>
            </w:r>
            <w:r>
              <w:rPr>
                <w:rFonts w:ascii="Times New Roman"/>
                <w:color w:val="auto"/>
                <w:sz w:val="21"/>
                <w:szCs w:val="28"/>
                <w:highlight w:val="none"/>
              </w:rPr>
              <w:t>年月 日）</w:t>
            </w:r>
          </w:p>
        </w:tc>
        <w:tc>
          <w:tcPr>
            <w:tcW w:w="867" w:type="dxa"/>
            <w:noWrap w:val="0"/>
            <w:vAlign w:val="center"/>
          </w:tcPr>
          <w:p w14:paraId="16C74336">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hint="eastAsia" w:ascii="Times New Roman" w:eastAsia="宋体"/>
                <w:color w:val="auto"/>
                <w:sz w:val="21"/>
                <w:szCs w:val="28"/>
                <w:highlight w:val="none"/>
                <w:lang w:eastAsia="zh-CN"/>
              </w:rPr>
            </w:pPr>
            <w:r>
              <w:rPr>
                <w:rFonts w:ascii="Times New Roman"/>
                <w:color w:val="auto"/>
                <w:sz w:val="21"/>
                <w:szCs w:val="28"/>
                <w:highlight w:val="none"/>
              </w:rPr>
              <w:t>通讯作者（含共同）</w:t>
            </w:r>
            <w:r>
              <w:rPr>
                <w:rFonts w:hint="eastAsia" w:ascii="Times New Roman"/>
                <w:color w:val="auto"/>
                <w:sz w:val="21"/>
                <w:szCs w:val="28"/>
                <w:highlight w:val="none"/>
                <w:lang w:eastAsia="zh-CN"/>
              </w:rPr>
              <w:t>及其署名单位</w:t>
            </w:r>
          </w:p>
        </w:tc>
        <w:tc>
          <w:tcPr>
            <w:tcW w:w="915" w:type="dxa"/>
            <w:noWrap w:val="0"/>
            <w:vAlign w:val="center"/>
          </w:tcPr>
          <w:p w14:paraId="0F3607E3">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第一作者（含共同）</w:t>
            </w:r>
            <w:r>
              <w:rPr>
                <w:rFonts w:hint="eastAsia" w:ascii="Times New Roman"/>
                <w:color w:val="auto"/>
                <w:sz w:val="21"/>
                <w:szCs w:val="28"/>
                <w:highlight w:val="none"/>
                <w:lang w:eastAsia="zh-CN"/>
              </w:rPr>
              <w:t>及其署名单位</w:t>
            </w:r>
          </w:p>
        </w:tc>
        <w:tc>
          <w:tcPr>
            <w:tcW w:w="1140" w:type="dxa"/>
            <w:noWrap w:val="0"/>
            <w:vAlign w:val="center"/>
          </w:tcPr>
          <w:p w14:paraId="72E51E4D">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hint="eastAsia" w:ascii="Times New Roman"/>
                <w:color w:val="auto"/>
                <w:sz w:val="21"/>
                <w:szCs w:val="28"/>
                <w:highlight w:val="none"/>
              </w:rPr>
              <w:t>论文第一署名单位（或专著第一、第二作者工作单位）</w:t>
            </w:r>
          </w:p>
        </w:tc>
        <w:tc>
          <w:tcPr>
            <w:tcW w:w="1163" w:type="dxa"/>
            <w:noWrap w:val="0"/>
            <w:vAlign w:val="center"/>
          </w:tcPr>
          <w:p w14:paraId="6E4AC18D">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hint="eastAsia" w:ascii="Times New Roman"/>
                <w:color w:val="auto"/>
                <w:sz w:val="21"/>
                <w:szCs w:val="28"/>
                <w:highlight w:val="none"/>
                <w:lang w:eastAsia="zh-CN"/>
              </w:rPr>
              <w:t>列入</w:t>
            </w:r>
            <w:r>
              <w:rPr>
                <w:rFonts w:hint="eastAsia" w:ascii="Times New Roman"/>
                <w:color w:val="auto"/>
                <w:spacing w:val="2"/>
                <w:szCs w:val="22"/>
                <w:highlight w:val="none"/>
                <w:lang w:eastAsia="zh-CN"/>
              </w:rPr>
              <w:t>项目</w:t>
            </w:r>
            <w:r>
              <w:rPr>
                <w:rFonts w:hint="eastAsia" w:ascii="Times New Roman"/>
                <w:color w:val="auto"/>
                <w:sz w:val="21"/>
                <w:szCs w:val="28"/>
                <w:highlight w:val="none"/>
                <w:lang w:eastAsia="zh-CN"/>
              </w:rPr>
              <w:t>主要完成人的</w:t>
            </w:r>
            <w:r>
              <w:rPr>
                <w:rFonts w:ascii="Times New Roman"/>
                <w:color w:val="auto"/>
                <w:sz w:val="21"/>
                <w:szCs w:val="28"/>
                <w:highlight w:val="none"/>
              </w:rPr>
              <w:t>作者</w:t>
            </w:r>
            <w:r>
              <w:rPr>
                <w:rFonts w:ascii="Times New Roman"/>
                <w:color w:val="auto"/>
                <w:sz w:val="21"/>
                <w:szCs w:val="22"/>
                <w:highlight w:val="none"/>
              </w:rPr>
              <w:t>（排序）</w:t>
            </w:r>
          </w:p>
        </w:tc>
        <w:tc>
          <w:tcPr>
            <w:tcW w:w="735" w:type="dxa"/>
            <w:noWrap w:val="0"/>
            <w:vAlign w:val="center"/>
          </w:tcPr>
          <w:p w14:paraId="7CF2D96E">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他引总次数</w:t>
            </w:r>
          </w:p>
        </w:tc>
        <w:tc>
          <w:tcPr>
            <w:tcW w:w="766" w:type="dxa"/>
            <w:noWrap w:val="0"/>
            <w:vAlign w:val="center"/>
          </w:tcPr>
          <w:p w14:paraId="46BFCEE5">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ascii="Times New Roman"/>
                <w:color w:val="auto"/>
                <w:sz w:val="21"/>
                <w:szCs w:val="28"/>
                <w:highlight w:val="none"/>
              </w:rPr>
            </w:pPr>
            <w:r>
              <w:rPr>
                <w:rFonts w:hint="eastAsia" w:ascii="Times New Roman"/>
                <w:color w:val="auto"/>
                <w:sz w:val="21"/>
                <w:szCs w:val="28"/>
                <w:highlight w:val="none"/>
              </w:rPr>
              <w:t>检索数据库</w:t>
            </w:r>
          </w:p>
        </w:tc>
        <w:tc>
          <w:tcPr>
            <w:tcW w:w="1174" w:type="dxa"/>
            <w:noWrap w:val="0"/>
            <w:vAlign w:val="center"/>
          </w:tcPr>
          <w:p w14:paraId="66DE60CC">
            <w:pPr>
              <w:pStyle w:val="3"/>
              <w:keepNext w:val="0"/>
              <w:keepLines w:val="0"/>
              <w:pageBreakBefore w:val="0"/>
              <w:widowControl w:val="0"/>
              <w:kinsoku/>
              <w:wordWrap/>
              <w:overflowPunct/>
              <w:topLinePunct w:val="0"/>
              <w:autoSpaceDE/>
              <w:autoSpaceDN/>
              <w:bidi w:val="0"/>
              <w:snapToGrid/>
              <w:spacing w:line="280" w:lineRule="exact"/>
              <w:ind w:firstLine="0" w:firstLineChars="0"/>
              <w:jc w:val="center"/>
              <w:textAlignment w:val="auto"/>
              <w:outlineLvl w:val="1"/>
              <w:rPr>
                <w:rFonts w:hint="eastAsia" w:ascii="Times New Roman" w:eastAsia="宋体"/>
                <w:color w:val="auto"/>
                <w:sz w:val="21"/>
                <w:szCs w:val="28"/>
                <w:highlight w:val="none"/>
                <w:lang w:eastAsia="zh-CN"/>
              </w:rPr>
            </w:pPr>
            <w:r>
              <w:rPr>
                <w:rFonts w:ascii="Times New Roman"/>
                <w:color w:val="auto"/>
                <w:sz w:val="21"/>
                <w:szCs w:val="28"/>
                <w:highlight w:val="none"/>
              </w:rPr>
              <w:t>是否国内</w:t>
            </w:r>
            <w:r>
              <w:rPr>
                <w:rFonts w:hint="eastAsia" w:ascii="Times New Roman"/>
                <w:color w:val="auto"/>
                <w:sz w:val="21"/>
                <w:szCs w:val="28"/>
                <w:highlight w:val="none"/>
                <w:lang w:eastAsia="zh-CN"/>
              </w:rPr>
              <w:t>期刊发表的论文（</w:t>
            </w:r>
            <w:r>
              <w:rPr>
                <w:rFonts w:hint="eastAsia" w:ascii="Times New Roman"/>
                <w:color w:val="auto"/>
                <w:sz w:val="21"/>
                <w:szCs w:val="28"/>
                <w:highlight w:val="none"/>
              </w:rPr>
              <w:t>国内</w:t>
            </w:r>
            <w:r>
              <w:rPr>
                <w:rFonts w:hint="eastAsia" w:ascii="Times New Roman"/>
                <w:color w:val="auto"/>
                <w:sz w:val="21"/>
                <w:szCs w:val="28"/>
                <w:highlight w:val="none"/>
                <w:lang w:eastAsia="zh-CN"/>
              </w:rPr>
              <w:t>出版的</w:t>
            </w:r>
            <w:r>
              <w:rPr>
                <w:rFonts w:hint="eastAsia" w:ascii="Times New Roman"/>
                <w:color w:val="auto"/>
                <w:sz w:val="21"/>
                <w:szCs w:val="28"/>
                <w:highlight w:val="none"/>
              </w:rPr>
              <w:t>专著</w:t>
            </w:r>
            <w:r>
              <w:rPr>
                <w:rFonts w:hint="eastAsia" w:ascii="Times New Roman"/>
                <w:color w:val="auto"/>
                <w:sz w:val="21"/>
                <w:szCs w:val="28"/>
                <w:highlight w:val="none"/>
                <w:lang w:eastAsia="zh-CN"/>
              </w:rPr>
              <w:t>）</w:t>
            </w:r>
          </w:p>
        </w:tc>
      </w:tr>
      <w:tr w14:paraId="7240E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575" w:type="dxa"/>
            <w:noWrap w:val="0"/>
            <w:vAlign w:val="center"/>
          </w:tcPr>
          <w:p w14:paraId="061A4F68">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1</w:t>
            </w:r>
          </w:p>
        </w:tc>
        <w:tc>
          <w:tcPr>
            <w:tcW w:w="1425" w:type="dxa"/>
            <w:noWrap w:val="0"/>
            <w:vAlign w:val="center"/>
          </w:tcPr>
          <w:p w14:paraId="29FAFAD2">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hint="default" w:ascii="Times New Roman" w:eastAsia="宋体"/>
                <w:color w:val="auto"/>
                <w:sz w:val="21"/>
                <w:szCs w:val="28"/>
                <w:highlight w:val="none"/>
                <w:lang w:val="en-US" w:eastAsia="zh-CN"/>
              </w:rPr>
            </w:pPr>
            <w:r>
              <w:rPr>
                <w:rFonts w:ascii="宋体" w:hAnsi="宋体" w:eastAsia="宋体"/>
                <w:color w:val="000000"/>
                <w:sz w:val="21"/>
                <w:highlight w:val="none"/>
              </w:rPr>
              <w:t>Unraveling the Synergistic Mechanism of Bi-Functional Nickel–Iron Phosphides Catalysts for Overall Water Splitting / Adv. Funct. Mater. / Min Jiang, Huanhuan Zhai, Libao Chen, Lin Mei, Pengfei Tan, Ke Yang, Jun Pan</w:t>
            </w:r>
          </w:p>
        </w:tc>
        <w:tc>
          <w:tcPr>
            <w:tcW w:w="900" w:type="dxa"/>
            <w:noWrap w:val="0"/>
            <w:vAlign w:val="center"/>
          </w:tcPr>
          <w:p w14:paraId="6EB0D075">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2023, 33, 2302621</w:t>
            </w:r>
          </w:p>
        </w:tc>
        <w:tc>
          <w:tcPr>
            <w:tcW w:w="740" w:type="dxa"/>
            <w:noWrap w:val="0"/>
            <w:vAlign w:val="center"/>
          </w:tcPr>
          <w:p w14:paraId="2685BCE9">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2023-04-27</w:t>
            </w:r>
          </w:p>
        </w:tc>
        <w:tc>
          <w:tcPr>
            <w:tcW w:w="867" w:type="dxa"/>
            <w:noWrap w:val="0"/>
            <w:vAlign w:val="center"/>
          </w:tcPr>
          <w:p w14:paraId="6E472AE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Pengfei Tan（中南大学）; Ke Yang（香港理工大学）; Jun Pan（中南大学）</w:t>
            </w:r>
          </w:p>
        </w:tc>
        <w:tc>
          <w:tcPr>
            <w:tcW w:w="915" w:type="dxa"/>
            <w:noWrap w:val="0"/>
            <w:vAlign w:val="center"/>
          </w:tcPr>
          <w:p w14:paraId="072B1B32">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Min Jiang（中南大学）</w:t>
            </w:r>
          </w:p>
        </w:tc>
        <w:tc>
          <w:tcPr>
            <w:tcW w:w="1140" w:type="dxa"/>
            <w:noWrap w:val="0"/>
            <w:vAlign w:val="center"/>
          </w:tcPr>
          <w:p w14:paraId="5CC97D09">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中南大学</w:t>
            </w:r>
          </w:p>
        </w:tc>
        <w:tc>
          <w:tcPr>
            <w:tcW w:w="1163" w:type="dxa"/>
            <w:noWrap w:val="0"/>
            <w:vAlign w:val="center"/>
          </w:tcPr>
          <w:p w14:paraId="0BBC9E74">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宋体" w:hAnsi="宋体"/>
                <w:sz w:val="21"/>
                <w:highlight w:val="none"/>
              </w:rPr>
            </w:pPr>
            <w:r>
              <w:rPr>
                <w:rFonts w:ascii="宋体" w:hAnsi="宋体"/>
                <w:sz w:val="21"/>
                <w:highlight w:val="none"/>
              </w:rPr>
              <w:t>Jun Pan；Pengfei Tan；Huanhuan Zhai</w:t>
            </w:r>
          </w:p>
        </w:tc>
        <w:tc>
          <w:tcPr>
            <w:tcW w:w="735" w:type="dxa"/>
            <w:noWrap w:val="0"/>
            <w:vAlign w:val="center"/>
          </w:tcPr>
          <w:p w14:paraId="11E1B913">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175</w:t>
            </w:r>
          </w:p>
        </w:tc>
        <w:tc>
          <w:tcPr>
            <w:tcW w:w="766" w:type="dxa"/>
            <w:noWrap w:val="0"/>
            <w:vAlign w:val="center"/>
          </w:tcPr>
          <w:p w14:paraId="1A0A301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Web of Science</w:t>
            </w:r>
          </w:p>
        </w:tc>
        <w:tc>
          <w:tcPr>
            <w:tcW w:w="1174" w:type="dxa"/>
            <w:noWrap w:val="0"/>
            <w:vAlign w:val="center"/>
          </w:tcPr>
          <w:p w14:paraId="4CEEACC7">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否</w:t>
            </w:r>
          </w:p>
        </w:tc>
      </w:tr>
      <w:tr w14:paraId="253A85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575" w:type="dxa"/>
            <w:noWrap w:val="0"/>
            <w:vAlign w:val="center"/>
          </w:tcPr>
          <w:p w14:paraId="3505A3BD">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2</w:t>
            </w:r>
          </w:p>
        </w:tc>
        <w:tc>
          <w:tcPr>
            <w:tcW w:w="1425" w:type="dxa"/>
            <w:noWrap w:val="0"/>
            <w:vAlign w:val="center"/>
          </w:tcPr>
          <w:p w14:paraId="62D03971">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Cationic Oxidative Leaching Engineering Modulated In Situ Self-Reconstruction of Nickel Sulfide for Superior Water Oxidation / Nano Lett. / Xuanzhi Liu, Jianchuan Wang, Hanxiao Liao, Jiaoyang Chen, Shaohui Zhang, Liming Tan, Xusheng Zheng, Dewei Chu, Penfei Tan, Jun Pan</w:t>
            </w:r>
          </w:p>
        </w:tc>
        <w:tc>
          <w:tcPr>
            <w:tcW w:w="900" w:type="dxa"/>
            <w:noWrap w:val="0"/>
            <w:vAlign w:val="center"/>
          </w:tcPr>
          <w:p w14:paraId="707C9C30">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2023, 23, 5027–5034</w:t>
            </w:r>
          </w:p>
        </w:tc>
        <w:tc>
          <w:tcPr>
            <w:tcW w:w="740" w:type="dxa"/>
            <w:noWrap w:val="0"/>
            <w:vAlign w:val="center"/>
          </w:tcPr>
          <w:p w14:paraId="7EAEE9D8">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2023-05-30</w:t>
            </w:r>
          </w:p>
        </w:tc>
        <w:tc>
          <w:tcPr>
            <w:tcW w:w="867" w:type="dxa"/>
            <w:noWrap w:val="0"/>
            <w:vAlign w:val="center"/>
          </w:tcPr>
          <w:p w14:paraId="2C321EF3">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Penfei Tan（中南大学）; Jun Pan（中南大学）</w:t>
            </w:r>
          </w:p>
        </w:tc>
        <w:tc>
          <w:tcPr>
            <w:tcW w:w="915" w:type="dxa"/>
            <w:noWrap w:val="0"/>
            <w:vAlign w:val="center"/>
          </w:tcPr>
          <w:p w14:paraId="04CAAFEE">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Xuanzhi Liu（中南大学）</w:t>
            </w:r>
          </w:p>
        </w:tc>
        <w:tc>
          <w:tcPr>
            <w:tcW w:w="1140" w:type="dxa"/>
            <w:noWrap w:val="0"/>
            <w:vAlign w:val="center"/>
          </w:tcPr>
          <w:p w14:paraId="1FE1971B">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中南大学</w:t>
            </w:r>
          </w:p>
        </w:tc>
        <w:tc>
          <w:tcPr>
            <w:tcW w:w="1163" w:type="dxa"/>
            <w:noWrap w:val="0"/>
            <w:vAlign w:val="center"/>
          </w:tcPr>
          <w:p w14:paraId="38AA4D0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宋体" w:hAnsi="宋体"/>
                <w:sz w:val="21"/>
                <w:highlight w:val="none"/>
              </w:rPr>
            </w:pPr>
            <w:r>
              <w:rPr>
                <w:rFonts w:ascii="宋体" w:hAnsi="宋体"/>
                <w:sz w:val="21"/>
                <w:highlight w:val="none"/>
              </w:rPr>
              <w:t>Jun Pan；Pengfei Tan；Hanxiao Liao</w:t>
            </w:r>
          </w:p>
        </w:tc>
        <w:tc>
          <w:tcPr>
            <w:tcW w:w="735" w:type="dxa"/>
            <w:noWrap w:val="0"/>
            <w:vAlign w:val="center"/>
          </w:tcPr>
          <w:p w14:paraId="0FEF5A9B">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hint="default" w:ascii="Times New Roman" w:eastAsia="宋体"/>
                <w:color w:val="auto"/>
                <w:sz w:val="21"/>
                <w:szCs w:val="28"/>
                <w:highlight w:val="none"/>
                <w:lang w:val="en-US" w:eastAsia="zh-CN"/>
              </w:rPr>
            </w:pPr>
            <w:r>
              <w:rPr>
                <w:rFonts w:hint="eastAsia" w:ascii="宋体" w:hAnsi="宋体" w:eastAsia="宋体"/>
                <w:color w:val="000000"/>
                <w:sz w:val="21"/>
                <w:highlight w:val="none"/>
                <w:lang w:val="en-US" w:eastAsia="zh-CN"/>
              </w:rPr>
              <w:t>113</w:t>
            </w:r>
          </w:p>
        </w:tc>
        <w:tc>
          <w:tcPr>
            <w:tcW w:w="766" w:type="dxa"/>
            <w:noWrap w:val="0"/>
            <w:vAlign w:val="center"/>
          </w:tcPr>
          <w:p w14:paraId="076A6DDC">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Web of Science</w:t>
            </w:r>
          </w:p>
        </w:tc>
        <w:tc>
          <w:tcPr>
            <w:tcW w:w="1174" w:type="dxa"/>
            <w:noWrap w:val="0"/>
            <w:vAlign w:val="center"/>
          </w:tcPr>
          <w:p w14:paraId="743C2A69">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否</w:t>
            </w:r>
          </w:p>
        </w:tc>
      </w:tr>
      <w:tr w14:paraId="0037D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575" w:type="dxa"/>
            <w:noWrap w:val="0"/>
            <w:vAlign w:val="center"/>
          </w:tcPr>
          <w:p w14:paraId="24C48027">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3</w:t>
            </w:r>
          </w:p>
        </w:tc>
        <w:tc>
          <w:tcPr>
            <w:tcW w:w="1425" w:type="dxa"/>
            <w:noWrap w:val="0"/>
            <w:vAlign w:val="center"/>
          </w:tcPr>
          <w:p w14:paraId="5E1EA7A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Oxyanion Engineering Suppressed Iron Segregation in Nickel–Iron Catalysts Toward Stable Water Oxidation / Adv. Mater. / Hanxiao Liao, Ganghai Ni, Pengfei Tan, Kang Liu, Xuanzhi Liu, Hele Liu, Kejun Chen, Xusheng Zheng, Min Liu, Jun Pan</w:t>
            </w:r>
          </w:p>
        </w:tc>
        <w:tc>
          <w:tcPr>
            <w:tcW w:w="900" w:type="dxa"/>
            <w:noWrap w:val="0"/>
            <w:vAlign w:val="center"/>
          </w:tcPr>
          <w:p w14:paraId="54EE608A">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2023, 35, 2300347</w:t>
            </w:r>
          </w:p>
        </w:tc>
        <w:tc>
          <w:tcPr>
            <w:tcW w:w="740" w:type="dxa"/>
            <w:noWrap w:val="0"/>
            <w:vAlign w:val="center"/>
          </w:tcPr>
          <w:p w14:paraId="33CDA31C">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2023-03-07</w:t>
            </w:r>
          </w:p>
        </w:tc>
        <w:tc>
          <w:tcPr>
            <w:tcW w:w="867" w:type="dxa"/>
            <w:noWrap w:val="0"/>
            <w:vAlign w:val="center"/>
          </w:tcPr>
          <w:p w14:paraId="5D944682">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Pengfei Tan（中南大学）; Min Liu（中南大学）; Jun Pan（中南大学）</w:t>
            </w:r>
          </w:p>
        </w:tc>
        <w:tc>
          <w:tcPr>
            <w:tcW w:w="915" w:type="dxa"/>
            <w:noWrap w:val="0"/>
            <w:vAlign w:val="center"/>
          </w:tcPr>
          <w:p w14:paraId="7CE85A36">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Hanxiao Liao（中南大学）</w:t>
            </w:r>
          </w:p>
        </w:tc>
        <w:tc>
          <w:tcPr>
            <w:tcW w:w="1140" w:type="dxa"/>
            <w:noWrap w:val="0"/>
            <w:vAlign w:val="center"/>
          </w:tcPr>
          <w:p w14:paraId="204EC115">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中南大学</w:t>
            </w:r>
          </w:p>
        </w:tc>
        <w:tc>
          <w:tcPr>
            <w:tcW w:w="1163" w:type="dxa"/>
            <w:noWrap w:val="0"/>
            <w:vAlign w:val="center"/>
          </w:tcPr>
          <w:p w14:paraId="0FAF8808">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宋体" w:hAnsi="宋体"/>
                <w:sz w:val="21"/>
                <w:highlight w:val="none"/>
              </w:rPr>
            </w:pPr>
            <w:r>
              <w:rPr>
                <w:rFonts w:ascii="宋体" w:hAnsi="宋体"/>
                <w:sz w:val="21"/>
                <w:highlight w:val="none"/>
              </w:rPr>
              <w:t>Jun Pan；Pengfei Tan；Hanxiao Liao</w:t>
            </w:r>
          </w:p>
        </w:tc>
        <w:tc>
          <w:tcPr>
            <w:tcW w:w="735" w:type="dxa"/>
            <w:noWrap w:val="0"/>
            <w:vAlign w:val="center"/>
          </w:tcPr>
          <w:p w14:paraId="43399B9B">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159</w:t>
            </w:r>
          </w:p>
        </w:tc>
        <w:tc>
          <w:tcPr>
            <w:tcW w:w="766" w:type="dxa"/>
            <w:noWrap w:val="0"/>
            <w:vAlign w:val="center"/>
          </w:tcPr>
          <w:p w14:paraId="4FC9BD31">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Web of Science</w:t>
            </w:r>
          </w:p>
        </w:tc>
        <w:tc>
          <w:tcPr>
            <w:tcW w:w="1174" w:type="dxa"/>
            <w:noWrap w:val="0"/>
            <w:vAlign w:val="center"/>
          </w:tcPr>
          <w:p w14:paraId="3B84BAC2">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否</w:t>
            </w:r>
          </w:p>
        </w:tc>
      </w:tr>
      <w:tr w14:paraId="5D5B58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575" w:type="dxa"/>
            <w:noWrap w:val="0"/>
            <w:vAlign w:val="center"/>
          </w:tcPr>
          <w:p w14:paraId="40124CCD">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4</w:t>
            </w:r>
          </w:p>
        </w:tc>
        <w:tc>
          <w:tcPr>
            <w:tcW w:w="1425" w:type="dxa"/>
            <w:noWrap w:val="0"/>
            <w:vAlign w:val="center"/>
          </w:tcPr>
          <w:p w14:paraId="45612BDD">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Dynamic dissolution and re-adsorption of molybdate ion in iron incorporated nickel-molybdenum oxyhydroxide for promoting oxygen evolution reaction / Appl. Catal. B / Hanxiao Liao, Xiaodong Zhang, Shuwen Niu, Pengfei Tan, Kejun Chen, Yong Liu, Gongming Wang, Min Liu, Jun Pan</w:t>
            </w:r>
          </w:p>
        </w:tc>
        <w:tc>
          <w:tcPr>
            <w:tcW w:w="900" w:type="dxa"/>
            <w:noWrap w:val="0"/>
            <w:vAlign w:val="center"/>
          </w:tcPr>
          <w:p w14:paraId="7C269FAD">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2022, 307, 121150</w:t>
            </w:r>
          </w:p>
        </w:tc>
        <w:tc>
          <w:tcPr>
            <w:tcW w:w="740" w:type="dxa"/>
            <w:noWrap w:val="0"/>
            <w:vAlign w:val="center"/>
          </w:tcPr>
          <w:p w14:paraId="5777E4A7">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2022-01-29*</w:t>
            </w:r>
          </w:p>
        </w:tc>
        <w:tc>
          <w:tcPr>
            <w:tcW w:w="867" w:type="dxa"/>
            <w:noWrap w:val="0"/>
            <w:vAlign w:val="center"/>
          </w:tcPr>
          <w:p w14:paraId="7BA7865A">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Pengfei Tan（中南大学）; Min Liu（中南大学）; Jun Pan（中南大学）</w:t>
            </w:r>
          </w:p>
        </w:tc>
        <w:tc>
          <w:tcPr>
            <w:tcW w:w="915" w:type="dxa"/>
            <w:noWrap w:val="0"/>
            <w:vAlign w:val="center"/>
          </w:tcPr>
          <w:p w14:paraId="591CD390">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Hanxiao Liao（中南大学）</w:t>
            </w:r>
          </w:p>
        </w:tc>
        <w:tc>
          <w:tcPr>
            <w:tcW w:w="1140" w:type="dxa"/>
            <w:noWrap w:val="0"/>
            <w:vAlign w:val="center"/>
          </w:tcPr>
          <w:p w14:paraId="55EB4722">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中南大学</w:t>
            </w:r>
          </w:p>
        </w:tc>
        <w:tc>
          <w:tcPr>
            <w:tcW w:w="1163" w:type="dxa"/>
            <w:noWrap w:val="0"/>
            <w:vAlign w:val="center"/>
          </w:tcPr>
          <w:p w14:paraId="05326DD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宋体" w:hAnsi="宋体"/>
                <w:sz w:val="21"/>
                <w:highlight w:val="none"/>
              </w:rPr>
            </w:pPr>
            <w:r>
              <w:rPr>
                <w:rFonts w:ascii="宋体" w:hAnsi="宋体"/>
                <w:sz w:val="21"/>
                <w:highlight w:val="none"/>
              </w:rPr>
              <w:t>Jun Pan；Pengfei Tan；Hanxiao Liao</w:t>
            </w:r>
          </w:p>
        </w:tc>
        <w:tc>
          <w:tcPr>
            <w:tcW w:w="735" w:type="dxa"/>
            <w:noWrap w:val="0"/>
            <w:vAlign w:val="center"/>
          </w:tcPr>
          <w:p w14:paraId="566132CB">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hint="default" w:ascii="Times New Roman" w:eastAsia="宋体"/>
                <w:color w:val="auto"/>
                <w:sz w:val="21"/>
                <w:szCs w:val="28"/>
                <w:highlight w:val="none"/>
                <w:lang w:val="en-US" w:eastAsia="zh-CN"/>
              </w:rPr>
            </w:pPr>
            <w:r>
              <w:rPr>
                <w:rFonts w:hint="eastAsia" w:ascii="宋体" w:hAnsi="宋体"/>
                <w:color w:val="000000"/>
                <w:sz w:val="21"/>
                <w:highlight w:val="none"/>
                <w:lang w:val="en-US" w:eastAsia="zh-CN"/>
              </w:rPr>
              <w:t>213</w:t>
            </w:r>
          </w:p>
        </w:tc>
        <w:tc>
          <w:tcPr>
            <w:tcW w:w="766" w:type="dxa"/>
            <w:noWrap w:val="0"/>
            <w:vAlign w:val="center"/>
          </w:tcPr>
          <w:p w14:paraId="60EEFDB7">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Web of Science</w:t>
            </w:r>
          </w:p>
        </w:tc>
        <w:tc>
          <w:tcPr>
            <w:tcW w:w="1174" w:type="dxa"/>
            <w:noWrap w:val="0"/>
            <w:vAlign w:val="center"/>
          </w:tcPr>
          <w:p w14:paraId="7F464444">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否</w:t>
            </w:r>
          </w:p>
        </w:tc>
      </w:tr>
      <w:tr w14:paraId="5382C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575" w:type="dxa"/>
            <w:noWrap w:val="0"/>
            <w:vAlign w:val="center"/>
          </w:tcPr>
          <w:p w14:paraId="7F97E00B">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5</w:t>
            </w:r>
          </w:p>
        </w:tc>
        <w:tc>
          <w:tcPr>
            <w:tcW w:w="1425" w:type="dxa"/>
            <w:noWrap w:val="0"/>
            <w:vAlign w:val="center"/>
          </w:tcPr>
          <w:p w14:paraId="2DA39F77">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Unveiling Role of Sulfate Ion in Nickel-Iron (oxy)Hydroxide with Enhanced Oxygen-Evolving Performance / Adv. Funct. Mater. / Hanxiao Liao, Tao Luo, Pengfei Tan, Kejun Chen, Lili Lu, Yong Liu, Min Liu, Jun Pan</w:t>
            </w:r>
          </w:p>
        </w:tc>
        <w:tc>
          <w:tcPr>
            <w:tcW w:w="900" w:type="dxa"/>
            <w:noWrap w:val="0"/>
            <w:vAlign w:val="center"/>
          </w:tcPr>
          <w:p w14:paraId="32932E6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2021, 31, 2102772</w:t>
            </w:r>
          </w:p>
        </w:tc>
        <w:tc>
          <w:tcPr>
            <w:tcW w:w="740" w:type="dxa"/>
            <w:noWrap w:val="0"/>
            <w:vAlign w:val="center"/>
          </w:tcPr>
          <w:p w14:paraId="7ECFF29A">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2021-07-02</w:t>
            </w:r>
          </w:p>
        </w:tc>
        <w:tc>
          <w:tcPr>
            <w:tcW w:w="867" w:type="dxa"/>
            <w:noWrap w:val="0"/>
            <w:vAlign w:val="center"/>
          </w:tcPr>
          <w:p w14:paraId="46A0DFC1">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Pengfei Tan（中南大学）; Min Liu（中南大学）; Jun Pan（中南大学）</w:t>
            </w:r>
          </w:p>
        </w:tc>
        <w:tc>
          <w:tcPr>
            <w:tcW w:w="915" w:type="dxa"/>
            <w:noWrap w:val="0"/>
            <w:vAlign w:val="center"/>
          </w:tcPr>
          <w:p w14:paraId="064CDF70">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Hanxiao Liao（中南大学）</w:t>
            </w:r>
          </w:p>
        </w:tc>
        <w:tc>
          <w:tcPr>
            <w:tcW w:w="1140" w:type="dxa"/>
            <w:noWrap w:val="0"/>
            <w:vAlign w:val="center"/>
          </w:tcPr>
          <w:p w14:paraId="4848A99B">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中南大学</w:t>
            </w:r>
          </w:p>
        </w:tc>
        <w:tc>
          <w:tcPr>
            <w:tcW w:w="1163" w:type="dxa"/>
            <w:noWrap w:val="0"/>
            <w:vAlign w:val="center"/>
          </w:tcPr>
          <w:p w14:paraId="15E60FF2">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宋体" w:hAnsi="宋体"/>
                <w:sz w:val="21"/>
                <w:highlight w:val="none"/>
              </w:rPr>
            </w:pPr>
            <w:r>
              <w:rPr>
                <w:rFonts w:ascii="宋体" w:hAnsi="宋体"/>
                <w:sz w:val="21"/>
                <w:highlight w:val="none"/>
              </w:rPr>
              <w:t>Jun Pan；Pengfei Tan；Hanxiao Liao</w:t>
            </w:r>
          </w:p>
        </w:tc>
        <w:tc>
          <w:tcPr>
            <w:tcW w:w="735" w:type="dxa"/>
            <w:noWrap w:val="0"/>
            <w:vAlign w:val="center"/>
          </w:tcPr>
          <w:p w14:paraId="59B86ADE">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339</w:t>
            </w:r>
          </w:p>
        </w:tc>
        <w:tc>
          <w:tcPr>
            <w:tcW w:w="766" w:type="dxa"/>
            <w:noWrap w:val="0"/>
            <w:vAlign w:val="center"/>
          </w:tcPr>
          <w:p w14:paraId="7B29ED16">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Web of Science</w:t>
            </w:r>
          </w:p>
        </w:tc>
        <w:tc>
          <w:tcPr>
            <w:tcW w:w="1174" w:type="dxa"/>
            <w:noWrap w:val="0"/>
            <w:vAlign w:val="center"/>
          </w:tcPr>
          <w:p w14:paraId="4ECC06FE">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否</w:t>
            </w:r>
          </w:p>
        </w:tc>
      </w:tr>
      <w:tr w14:paraId="2D3CD9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575" w:type="dxa"/>
            <w:noWrap w:val="0"/>
            <w:vAlign w:val="center"/>
          </w:tcPr>
          <w:p w14:paraId="49CB3717">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hint="eastAsia" w:ascii="Times New Roman" w:eastAsia="宋体"/>
                <w:color w:val="auto"/>
                <w:sz w:val="21"/>
                <w:szCs w:val="28"/>
                <w:highlight w:val="none"/>
                <w:lang w:val="en-US" w:eastAsia="zh-CN"/>
              </w:rPr>
            </w:pPr>
            <w:r>
              <w:rPr>
                <w:rFonts w:hint="eastAsia" w:ascii="Times New Roman"/>
                <w:color w:val="auto"/>
                <w:sz w:val="21"/>
                <w:szCs w:val="28"/>
                <w:highlight w:val="none"/>
                <w:lang w:val="en-US" w:eastAsia="zh-CN"/>
              </w:rPr>
              <w:t>6</w:t>
            </w:r>
          </w:p>
        </w:tc>
        <w:tc>
          <w:tcPr>
            <w:tcW w:w="1425" w:type="dxa"/>
            <w:noWrap w:val="0"/>
            <w:vAlign w:val="center"/>
          </w:tcPr>
          <w:p w14:paraId="16E6AB2C">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Synergistic electronic interaction between ruthenium and nickel-iron hydroxide for enhanced oxygen evolution reaction / Rare Met. / Hao Cui, Han-Xiao Liao, Zhi-Lu Wang, Jian-Ping Xie, Peng-Fei Tan, De-Wei Chu, Pan Jun</w:t>
            </w:r>
          </w:p>
        </w:tc>
        <w:tc>
          <w:tcPr>
            <w:tcW w:w="900" w:type="dxa"/>
            <w:noWrap w:val="0"/>
            <w:vAlign w:val="center"/>
          </w:tcPr>
          <w:p w14:paraId="055D42D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2022, 41, 2606–2615</w:t>
            </w:r>
          </w:p>
        </w:tc>
        <w:tc>
          <w:tcPr>
            <w:tcW w:w="740" w:type="dxa"/>
            <w:noWrap w:val="0"/>
            <w:vAlign w:val="center"/>
          </w:tcPr>
          <w:p w14:paraId="76B160D1">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2022-05-19</w:t>
            </w:r>
          </w:p>
        </w:tc>
        <w:tc>
          <w:tcPr>
            <w:tcW w:w="867" w:type="dxa"/>
            <w:noWrap w:val="0"/>
            <w:vAlign w:val="center"/>
          </w:tcPr>
          <w:p w14:paraId="7094B8A5">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Peng-Fei Tan（中南大学）; Pan Jun（中南大学）</w:t>
            </w:r>
          </w:p>
        </w:tc>
        <w:tc>
          <w:tcPr>
            <w:tcW w:w="915" w:type="dxa"/>
            <w:noWrap w:val="0"/>
            <w:vAlign w:val="center"/>
          </w:tcPr>
          <w:p w14:paraId="73BAF5BE">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sz w:val="21"/>
                <w:highlight w:val="none"/>
              </w:rPr>
              <w:t>Hao Cui（中南大学）; Han-Xiao Liao（中南大学）（共同第一）</w:t>
            </w:r>
          </w:p>
        </w:tc>
        <w:tc>
          <w:tcPr>
            <w:tcW w:w="1140" w:type="dxa"/>
            <w:noWrap w:val="0"/>
            <w:vAlign w:val="center"/>
          </w:tcPr>
          <w:p w14:paraId="64340829">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中南大学</w:t>
            </w:r>
          </w:p>
        </w:tc>
        <w:tc>
          <w:tcPr>
            <w:tcW w:w="1163" w:type="dxa"/>
            <w:noWrap w:val="0"/>
            <w:vAlign w:val="center"/>
          </w:tcPr>
          <w:p w14:paraId="7739527C">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宋体" w:hAnsi="宋体"/>
                <w:sz w:val="21"/>
                <w:highlight w:val="none"/>
              </w:rPr>
            </w:pPr>
            <w:r>
              <w:rPr>
                <w:rFonts w:ascii="宋体" w:hAnsi="宋体"/>
                <w:sz w:val="21"/>
                <w:highlight w:val="none"/>
              </w:rPr>
              <w:t>Jun Pan；Pengfei Tan；Hanxiao Liao</w:t>
            </w:r>
          </w:p>
        </w:tc>
        <w:tc>
          <w:tcPr>
            <w:tcW w:w="735" w:type="dxa"/>
            <w:noWrap w:val="0"/>
            <w:vAlign w:val="center"/>
          </w:tcPr>
          <w:p w14:paraId="4A56FE7C">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73</w:t>
            </w:r>
          </w:p>
        </w:tc>
        <w:tc>
          <w:tcPr>
            <w:tcW w:w="766" w:type="dxa"/>
            <w:noWrap w:val="0"/>
            <w:vAlign w:val="center"/>
          </w:tcPr>
          <w:p w14:paraId="1DD2A163">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Web of Science</w:t>
            </w:r>
          </w:p>
        </w:tc>
        <w:tc>
          <w:tcPr>
            <w:tcW w:w="1174" w:type="dxa"/>
            <w:noWrap w:val="0"/>
            <w:vAlign w:val="center"/>
          </w:tcPr>
          <w:p w14:paraId="2FC0A4B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ascii="Times New Roman"/>
                <w:color w:val="auto"/>
                <w:sz w:val="21"/>
                <w:szCs w:val="28"/>
                <w:highlight w:val="none"/>
              </w:rPr>
            </w:pPr>
            <w:r>
              <w:rPr>
                <w:rFonts w:ascii="宋体" w:hAnsi="宋体" w:eastAsia="宋体"/>
                <w:color w:val="000000"/>
                <w:sz w:val="21"/>
                <w:highlight w:val="none"/>
              </w:rPr>
              <w:t>是</w:t>
            </w:r>
          </w:p>
        </w:tc>
      </w:tr>
      <w:tr w14:paraId="39A62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6562" w:type="dxa"/>
            <w:gridSpan w:val="7"/>
            <w:noWrap w:val="0"/>
            <w:vAlign w:val="center"/>
          </w:tcPr>
          <w:p w14:paraId="3863431C">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r>
              <w:rPr>
                <w:rFonts w:ascii="Times New Roman"/>
                <w:color w:val="auto"/>
                <w:sz w:val="21"/>
                <w:szCs w:val="28"/>
                <w:highlight w:val="none"/>
              </w:rPr>
              <w:t>合  计</w:t>
            </w:r>
          </w:p>
        </w:tc>
        <w:tc>
          <w:tcPr>
            <w:tcW w:w="1163" w:type="dxa"/>
            <w:noWrap w:val="0"/>
            <w:vAlign w:val="center"/>
          </w:tcPr>
          <w:p w14:paraId="077D4477">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p>
        </w:tc>
        <w:tc>
          <w:tcPr>
            <w:tcW w:w="735" w:type="dxa"/>
            <w:noWrap w:val="0"/>
            <w:vAlign w:val="center"/>
          </w:tcPr>
          <w:p w14:paraId="0CCC83AF">
            <w:pPr>
              <w:pStyle w:val="3"/>
              <w:keepNext w:val="0"/>
              <w:keepLines w:val="0"/>
              <w:pageBreakBefore w:val="0"/>
              <w:widowControl w:val="0"/>
              <w:kinsoku/>
              <w:wordWrap/>
              <w:overflowPunct/>
              <w:topLinePunct w:val="0"/>
              <w:autoSpaceDE/>
              <w:autoSpaceDN/>
              <w:bidi w:val="0"/>
              <w:adjustRightInd w:val="0"/>
              <w:snapToGrid/>
              <w:spacing w:before="0" w:after="0" w:line="280" w:lineRule="exact"/>
              <w:ind w:firstLine="0" w:firstLineChars="0"/>
              <w:jc w:val="center"/>
              <w:textAlignment w:val="auto"/>
              <w:outlineLvl w:val="1"/>
              <w:rPr>
                <w:rFonts w:hint="default" w:ascii="Times New Roman" w:eastAsia="宋体"/>
                <w:color w:val="auto"/>
                <w:sz w:val="21"/>
                <w:szCs w:val="28"/>
                <w:highlight w:val="none"/>
                <w:lang w:val="en-US" w:eastAsia="zh-CN"/>
              </w:rPr>
            </w:pPr>
            <w:r>
              <w:rPr>
                <w:rFonts w:hint="eastAsia" w:ascii="宋体" w:hAnsi="宋体"/>
                <w:color w:val="000000"/>
                <w:sz w:val="21"/>
                <w:highlight w:val="none"/>
                <w:lang w:val="en-US" w:eastAsia="zh-CN"/>
              </w:rPr>
              <w:t>1072</w:t>
            </w:r>
          </w:p>
        </w:tc>
        <w:tc>
          <w:tcPr>
            <w:tcW w:w="766" w:type="dxa"/>
            <w:noWrap w:val="0"/>
            <w:vAlign w:val="center"/>
          </w:tcPr>
          <w:p w14:paraId="3EA5EE0D">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p>
        </w:tc>
        <w:tc>
          <w:tcPr>
            <w:tcW w:w="1174" w:type="dxa"/>
            <w:noWrap w:val="0"/>
            <w:vAlign w:val="center"/>
          </w:tcPr>
          <w:p w14:paraId="7C6D50D2">
            <w:pPr>
              <w:pStyle w:val="3"/>
              <w:keepNext w:val="0"/>
              <w:keepLines w:val="0"/>
              <w:pageBreakBefore w:val="0"/>
              <w:widowControl w:val="0"/>
              <w:kinsoku/>
              <w:wordWrap/>
              <w:overflowPunct/>
              <w:topLinePunct w:val="0"/>
              <w:autoSpaceDE/>
              <w:autoSpaceDN/>
              <w:bidi w:val="0"/>
              <w:adjustRightInd w:val="0"/>
              <w:snapToGrid/>
              <w:spacing w:after="50" w:line="280" w:lineRule="exact"/>
              <w:ind w:firstLine="0" w:firstLineChars="0"/>
              <w:jc w:val="center"/>
              <w:textAlignment w:val="auto"/>
              <w:outlineLvl w:val="1"/>
              <w:rPr>
                <w:rFonts w:ascii="Times New Roman"/>
                <w:color w:val="auto"/>
                <w:sz w:val="21"/>
                <w:szCs w:val="28"/>
                <w:highlight w:val="none"/>
              </w:rPr>
            </w:pPr>
          </w:p>
        </w:tc>
      </w:tr>
    </w:tbl>
    <w:p w14:paraId="257FB5CA">
      <w:pPr>
        <w:keepNext w:val="0"/>
        <w:keepLines w:val="0"/>
        <w:pageBreakBefore w:val="0"/>
        <w:kinsoku/>
        <w:wordWrap/>
        <w:overflowPunct/>
        <w:topLinePunct w:val="0"/>
        <w:autoSpaceDE/>
        <w:autoSpaceDN/>
        <w:bidi w:val="0"/>
        <w:adjustRightInd/>
        <w:snapToGrid/>
        <w:spacing w:before="0" w:after="0" w:line="560" w:lineRule="exact"/>
        <w:textAlignment w:val="auto"/>
        <w:rPr>
          <w:rFonts w:hint="eastAsia" w:ascii="Times New Roman" w:hAnsi="Times New Roman" w:eastAsia="宋体" w:cs="Times New Roman"/>
          <w:b/>
          <w:bCs/>
          <w:sz w:val="28"/>
          <w:szCs w:val="28"/>
          <w:highlight w:val="none"/>
          <w:lang w:eastAsia="zh-CN"/>
        </w:rPr>
      </w:pPr>
      <w:r>
        <w:rPr>
          <w:rFonts w:ascii="宋体" w:hAnsi="宋体" w:eastAsia="宋体"/>
          <w:color w:val="000000"/>
          <w:sz w:val="28"/>
          <w:highlight w:val="none"/>
        </w:rPr>
        <w:t>五、主要完成人：潘军，谭鹏飞，廖寒潇，翟欢欢</w:t>
      </w:r>
    </w:p>
    <w:p w14:paraId="10E480C2">
      <w:pPr>
        <w:keepNext w:val="0"/>
        <w:keepLines w:val="0"/>
        <w:pageBreakBefore w:val="0"/>
        <w:kinsoku/>
        <w:wordWrap/>
        <w:overflowPunct/>
        <w:topLinePunct w:val="0"/>
        <w:autoSpaceDE/>
        <w:autoSpaceDN/>
        <w:bidi w:val="0"/>
        <w:adjustRightInd/>
        <w:snapToGrid/>
        <w:spacing w:before="0" w:after="0" w:line="560" w:lineRule="exact"/>
        <w:textAlignment w:val="auto"/>
        <w:rPr>
          <w:rFonts w:hint="eastAsia" w:ascii="Times New Roman" w:hAnsi="Times New Roman" w:eastAsia="宋体" w:cs="Times New Roman"/>
          <w:b/>
          <w:bCs/>
          <w:sz w:val="28"/>
          <w:szCs w:val="28"/>
          <w:highlight w:val="none"/>
          <w:lang w:eastAsia="zh-CN"/>
        </w:rPr>
      </w:pPr>
      <w:r>
        <w:rPr>
          <w:rFonts w:ascii="宋体" w:hAnsi="宋体" w:eastAsia="宋体"/>
          <w:color w:val="000000"/>
          <w:sz w:val="28"/>
          <w:highlight w:val="none"/>
        </w:rPr>
        <w:t>六、主要完成单位：中南大学</w:t>
      </w:r>
    </w:p>
    <w:p w14:paraId="006DAC32">
      <w:pPr>
        <w:keepNext w:val="0"/>
        <w:keepLines w:val="0"/>
        <w:pageBreakBefore w:val="0"/>
        <w:kinsoku/>
        <w:wordWrap/>
        <w:overflowPunct/>
        <w:topLinePunct w:val="0"/>
        <w:autoSpaceDE/>
        <w:autoSpaceDN/>
        <w:bidi w:val="0"/>
        <w:adjustRightInd/>
        <w:snapToGrid/>
        <w:spacing w:line="560" w:lineRule="exact"/>
        <w:textAlignment w:val="auto"/>
        <w:rPr>
          <w:rFonts w:hint="eastAsia" w:cs="Times New Roman"/>
          <w:b/>
          <w:bCs/>
          <w:sz w:val="28"/>
          <w:szCs w:val="28"/>
          <w:highlight w:val="none"/>
          <w:lang w:val="en-US" w:eastAsia="zh-CN"/>
        </w:rPr>
      </w:pPr>
      <w:r>
        <w:rPr>
          <w:rFonts w:hint="eastAsia" w:cs="Times New Roman"/>
          <w:b/>
          <w:bCs/>
          <w:sz w:val="28"/>
          <w:szCs w:val="28"/>
          <w:highlight w:val="none"/>
          <w:lang w:val="en-US" w:eastAsia="zh-CN"/>
        </w:rPr>
        <w:t>七、主要完成人合作关系说明（含汇总表）</w:t>
      </w:r>
    </w:p>
    <w:p w14:paraId="2973D993">
      <w:pPr>
        <w:keepNext w:val="0"/>
        <w:keepLines w:val="0"/>
        <w:pageBreakBefore w:val="0"/>
        <w:widowControl/>
        <w:kinsoku/>
        <w:wordWrap/>
        <w:overflowPunct/>
        <w:topLinePunct w:val="0"/>
        <w:autoSpaceDE/>
        <w:autoSpaceDN/>
        <w:bidi w:val="0"/>
        <w:adjustRightInd/>
        <w:snapToGrid/>
        <w:spacing w:before="0" w:after="0" w:line="560" w:lineRule="exact"/>
        <w:jc w:val="both"/>
        <w:textAlignment w:val="auto"/>
        <w:rPr>
          <w:rFonts w:hint="eastAsia" w:eastAsia="宋体"/>
          <w:color w:val="auto"/>
          <w:sz w:val="28"/>
          <w:highlight w:val="none"/>
          <w:lang w:eastAsia="zh-CN"/>
        </w:rPr>
      </w:pPr>
      <w:r>
        <w:rPr>
          <w:rFonts w:ascii="宋体" w:hAnsi="宋体" w:eastAsia="宋体"/>
          <w:color w:val="000000"/>
          <w:sz w:val="28"/>
          <w:highlight w:val="none"/>
        </w:rPr>
        <w:t>主要完成人合作关系说明：潘军、谭鹏飞、廖寒潇、翟欢欢均为本项目主要完成人。根据代表作署名信息，谭鹏飞与潘军共同署名代表作1—6；廖寒潇与谭鹏飞、潘军共同署名代表作2—6；翟欢欢与谭鹏飞、潘军共同署名代表作1，形成了围绕镍基析氧催化剂工作态活性结构演变与稳定机制的论文合作关系。</w:t>
      </w:r>
    </w:p>
    <w:p w14:paraId="6BD44A7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61EB836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6E92A15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75461F8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2915BD7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1872DAE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3256F21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r>
        <w:rPr>
          <w:b/>
          <w:color w:val="auto"/>
          <w:sz w:val="28"/>
          <w:highlight w:val="none"/>
        </w:rPr>
        <w:t>主要完成人合作关系情况汇总表</w:t>
      </w:r>
    </w:p>
    <w:tbl>
      <w:tblPr>
        <w:tblStyle w:val="4"/>
        <w:tblW w:w="87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9"/>
        <w:gridCol w:w="1278"/>
        <w:gridCol w:w="1528"/>
        <w:gridCol w:w="1353"/>
        <w:gridCol w:w="1397"/>
        <w:gridCol w:w="1261"/>
        <w:gridCol w:w="1064"/>
      </w:tblGrid>
      <w:tr w14:paraId="6DF99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819" w:type="dxa"/>
            <w:noWrap w:val="0"/>
            <w:vAlign w:val="center"/>
          </w:tcPr>
          <w:p w14:paraId="554480C1">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序号</w:t>
            </w:r>
          </w:p>
        </w:tc>
        <w:tc>
          <w:tcPr>
            <w:tcW w:w="1278" w:type="dxa"/>
            <w:noWrap w:val="0"/>
            <w:vAlign w:val="center"/>
          </w:tcPr>
          <w:p w14:paraId="3C96C0A4">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合作方式</w:t>
            </w:r>
          </w:p>
        </w:tc>
        <w:tc>
          <w:tcPr>
            <w:tcW w:w="1528" w:type="dxa"/>
            <w:noWrap w:val="0"/>
            <w:vAlign w:val="center"/>
          </w:tcPr>
          <w:p w14:paraId="28F5326C">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合作者/排名</w:t>
            </w:r>
          </w:p>
        </w:tc>
        <w:tc>
          <w:tcPr>
            <w:tcW w:w="1353" w:type="dxa"/>
            <w:noWrap w:val="0"/>
            <w:vAlign w:val="center"/>
          </w:tcPr>
          <w:p w14:paraId="63F130F3">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合作时间</w:t>
            </w:r>
          </w:p>
        </w:tc>
        <w:tc>
          <w:tcPr>
            <w:tcW w:w="1397" w:type="dxa"/>
            <w:noWrap w:val="0"/>
            <w:vAlign w:val="center"/>
          </w:tcPr>
          <w:p w14:paraId="20816EFE">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合作成果</w:t>
            </w:r>
          </w:p>
        </w:tc>
        <w:tc>
          <w:tcPr>
            <w:tcW w:w="1261" w:type="dxa"/>
            <w:noWrap w:val="0"/>
            <w:vAlign w:val="center"/>
          </w:tcPr>
          <w:p w14:paraId="0CB4673F">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证明材料</w:t>
            </w:r>
          </w:p>
        </w:tc>
        <w:tc>
          <w:tcPr>
            <w:tcW w:w="1064" w:type="dxa"/>
            <w:noWrap w:val="0"/>
            <w:vAlign w:val="center"/>
          </w:tcPr>
          <w:p w14:paraId="731ACE13">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备注</w:t>
            </w:r>
          </w:p>
        </w:tc>
      </w:tr>
      <w:tr w14:paraId="1CFAE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32477AC4">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1</w:t>
            </w:r>
          </w:p>
        </w:tc>
        <w:tc>
          <w:tcPr>
            <w:tcW w:w="1278" w:type="dxa"/>
            <w:noWrap w:val="0"/>
            <w:vAlign w:val="top"/>
          </w:tcPr>
          <w:p w14:paraId="60F16231">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rFonts w:hint="default" w:eastAsia="宋体"/>
                <w:color w:val="auto"/>
                <w:sz w:val="24"/>
                <w:szCs w:val="24"/>
                <w:highlight w:val="none"/>
                <w:lang w:val="en-US" w:eastAsia="zh-CN"/>
              </w:rPr>
            </w:pPr>
            <w:r>
              <w:rPr>
                <w:rFonts w:ascii="宋体" w:hAnsi="宋体" w:eastAsia="宋体"/>
                <w:color w:val="000000"/>
                <w:sz w:val="21"/>
                <w:highlight w:val="none"/>
              </w:rPr>
              <w:t>论文合著</w:t>
            </w:r>
          </w:p>
        </w:tc>
        <w:tc>
          <w:tcPr>
            <w:tcW w:w="1528" w:type="dxa"/>
            <w:noWrap w:val="0"/>
            <w:vAlign w:val="top"/>
          </w:tcPr>
          <w:p w14:paraId="5078A899">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rFonts w:hint="default"/>
                <w:color w:val="auto"/>
                <w:sz w:val="24"/>
                <w:szCs w:val="24"/>
                <w:highlight w:val="none"/>
                <w:lang w:val="en-US"/>
              </w:rPr>
            </w:pPr>
            <w:r>
              <w:rPr>
                <w:rFonts w:ascii="宋体" w:hAnsi="宋体" w:eastAsia="宋体"/>
                <w:color w:val="000000"/>
                <w:sz w:val="21"/>
                <w:highlight w:val="none"/>
              </w:rPr>
              <w:t>谭鹏飞/2；潘军/1</w:t>
            </w:r>
          </w:p>
        </w:tc>
        <w:tc>
          <w:tcPr>
            <w:tcW w:w="1353" w:type="dxa"/>
            <w:noWrap w:val="0"/>
            <w:vAlign w:val="top"/>
          </w:tcPr>
          <w:p w14:paraId="7D9E11B3">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2021-07-02至2023-05-30</w:t>
            </w:r>
          </w:p>
        </w:tc>
        <w:tc>
          <w:tcPr>
            <w:tcW w:w="1397" w:type="dxa"/>
            <w:noWrap w:val="0"/>
            <w:vAlign w:val="top"/>
          </w:tcPr>
          <w:p w14:paraId="1838EB4A">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共同发表代表作1—6</w:t>
            </w:r>
          </w:p>
        </w:tc>
        <w:tc>
          <w:tcPr>
            <w:tcW w:w="1261" w:type="dxa"/>
            <w:noWrap w:val="0"/>
            <w:vAlign w:val="top"/>
          </w:tcPr>
          <w:p w14:paraId="53BB40F1">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代表作1—6</w:t>
            </w:r>
          </w:p>
        </w:tc>
        <w:tc>
          <w:tcPr>
            <w:tcW w:w="1064" w:type="dxa"/>
            <w:noWrap w:val="0"/>
            <w:vAlign w:val="top"/>
          </w:tcPr>
          <w:p w14:paraId="082D2403">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p>
        </w:tc>
      </w:tr>
      <w:tr w14:paraId="1C78E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3BB60159">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2</w:t>
            </w:r>
          </w:p>
        </w:tc>
        <w:tc>
          <w:tcPr>
            <w:tcW w:w="1278" w:type="dxa"/>
            <w:noWrap w:val="0"/>
            <w:vAlign w:val="top"/>
          </w:tcPr>
          <w:p w14:paraId="4BA12056">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论文合著</w:t>
            </w:r>
          </w:p>
        </w:tc>
        <w:tc>
          <w:tcPr>
            <w:tcW w:w="1528" w:type="dxa"/>
            <w:noWrap w:val="0"/>
            <w:vAlign w:val="top"/>
          </w:tcPr>
          <w:p w14:paraId="6A12DD1E">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廖寒潇/3；谭鹏飞/2</w:t>
            </w:r>
          </w:p>
        </w:tc>
        <w:tc>
          <w:tcPr>
            <w:tcW w:w="1353" w:type="dxa"/>
            <w:noWrap w:val="0"/>
            <w:vAlign w:val="top"/>
          </w:tcPr>
          <w:p w14:paraId="66AEC2D9">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2021-07-02至2023-05-30</w:t>
            </w:r>
          </w:p>
        </w:tc>
        <w:tc>
          <w:tcPr>
            <w:tcW w:w="1397" w:type="dxa"/>
            <w:noWrap w:val="0"/>
            <w:vAlign w:val="top"/>
          </w:tcPr>
          <w:p w14:paraId="00FCADD6">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共同发表代表作2—6</w:t>
            </w:r>
          </w:p>
        </w:tc>
        <w:tc>
          <w:tcPr>
            <w:tcW w:w="1261" w:type="dxa"/>
            <w:noWrap w:val="0"/>
            <w:vAlign w:val="top"/>
          </w:tcPr>
          <w:p w14:paraId="43E290A0">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代表作2—6</w:t>
            </w:r>
          </w:p>
        </w:tc>
        <w:tc>
          <w:tcPr>
            <w:tcW w:w="1064" w:type="dxa"/>
            <w:noWrap w:val="0"/>
            <w:vAlign w:val="top"/>
          </w:tcPr>
          <w:p w14:paraId="2C1CA860">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p>
        </w:tc>
      </w:tr>
      <w:tr w14:paraId="1E5FF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noWrap w:val="0"/>
            <w:vAlign w:val="top"/>
          </w:tcPr>
          <w:p w14:paraId="5735455B">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3</w:t>
            </w:r>
          </w:p>
        </w:tc>
        <w:tc>
          <w:tcPr>
            <w:tcW w:w="1278" w:type="dxa"/>
            <w:noWrap w:val="0"/>
            <w:vAlign w:val="top"/>
          </w:tcPr>
          <w:p w14:paraId="5C72199B">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论文合著</w:t>
            </w:r>
          </w:p>
        </w:tc>
        <w:tc>
          <w:tcPr>
            <w:tcW w:w="1528" w:type="dxa"/>
            <w:noWrap w:val="0"/>
            <w:vAlign w:val="top"/>
          </w:tcPr>
          <w:p w14:paraId="1049B235">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廖寒潇/3；潘军/1</w:t>
            </w:r>
          </w:p>
        </w:tc>
        <w:tc>
          <w:tcPr>
            <w:tcW w:w="1353" w:type="dxa"/>
            <w:noWrap w:val="0"/>
            <w:vAlign w:val="top"/>
          </w:tcPr>
          <w:p w14:paraId="58EF83FB">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2021-07-02至2023-05-30</w:t>
            </w:r>
          </w:p>
        </w:tc>
        <w:tc>
          <w:tcPr>
            <w:tcW w:w="1397" w:type="dxa"/>
            <w:noWrap w:val="0"/>
            <w:vAlign w:val="top"/>
          </w:tcPr>
          <w:p w14:paraId="4F003630">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共同发表代表作2—6</w:t>
            </w:r>
          </w:p>
        </w:tc>
        <w:tc>
          <w:tcPr>
            <w:tcW w:w="1261" w:type="dxa"/>
            <w:noWrap w:val="0"/>
            <w:vAlign w:val="top"/>
          </w:tcPr>
          <w:p w14:paraId="60165612">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r>
              <w:rPr>
                <w:rFonts w:ascii="宋体" w:hAnsi="宋体" w:eastAsia="宋体"/>
                <w:color w:val="000000"/>
                <w:sz w:val="21"/>
                <w:highlight w:val="none"/>
              </w:rPr>
              <w:t>代表作2—6</w:t>
            </w:r>
          </w:p>
        </w:tc>
        <w:tc>
          <w:tcPr>
            <w:tcW w:w="1064" w:type="dxa"/>
            <w:noWrap w:val="0"/>
            <w:vAlign w:val="top"/>
          </w:tcPr>
          <w:p w14:paraId="1B919405">
            <w:pPr>
              <w:keepNext w:val="0"/>
              <w:keepLines w:val="0"/>
              <w:pageBreakBefore w:val="0"/>
              <w:widowControl w:val="0"/>
              <w:kinsoku/>
              <w:wordWrap/>
              <w:overflowPunct/>
              <w:topLinePunct w:val="0"/>
              <w:autoSpaceDE/>
              <w:autoSpaceDN/>
              <w:bidi w:val="0"/>
              <w:adjustRightInd/>
              <w:snapToGrid/>
              <w:spacing w:before="0" w:beforeLines="50" w:after="0" w:afterLines="50" w:line="280" w:lineRule="exact"/>
              <w:textAlignment w:val="auto"/>
              <w:rPr>
                <w:color w:val="auto"/>
                <w:sz w:val="24"/>
                <w:szCs w:val="24"/>
                <w:highlight w:val="none"/>
              </w:rPr>
            </w:pPr>
          </w:p>
        </w:tc>
      </w:tr>
      <w:tr w14:paraId="087F3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9" w:type="dxa"/>
            <w:noWrap w:val="0"/>
            <w:vAlign w:val="top"/>
          </w:tcPr>
          <w:p w14:paraId="293D7664">
            <w:pPr>
              <w:spacing w:line="280" w:lineRule="exact"/>
              <w:rPr>
                <w:highlight w:val="none"/>
              </w:rPr>
            </w:pPr>
            <w:r>
              <w:rPr>
                <w:rFonts w:ascii="宋体" w:hAnsi="宋体"/>
                <w:sz w:val="21"/>
                <w:highlight w:val="none"/>
              </w:rPr>
              <w:t>4</w:t>
            </w:r>
          </w:p>
        </w:tc>
        <w:tc>
          <w:tcPr>
            <w:tcW w:w="1278" w:type="dxa"/>
            <w:noWrap w:val="0"/>
            <w:vAlign w:val="top"/>
          </w:tcPr>
          <w:p w14:paraId="5EEF770D">
            <w:pPr>
              <w:spacing w:line="280" w:lineRule="exact"/>
              <w:rPr>
                <w:highlight w:val="none"/>
              </w:rPr>
            </w:pPr>
            <w:r>
              <w:rPr>
                <w:rFonts w:ascii="宋体" w:hAnsi="宋体"/>
                <w:sz w:val="21"/>
                <w:highlight w:val="none"/>
              </w:rPr>
              <w:t>论文合著</w:t>
            </w:r>
          </w:p>
        </w:tc>
        <w:tc>
          <w:tcPr>
            <w:tcW w:w="1528" w:type="dxa"/>
            <w:noWrap w:val="0"/>
            <w:vAlign w:val="top"/>
          </w:tcPr>
          <w:p w14:paraId="45F7519C">
            <w:pPr>
              <w:spacing w:line="280" w:lineRule="exact"/>
              <w:rPr>
                <w:highlight w:val="none"/>
              </w:rPr>
            </w:pPr>
            <w:r>
              <w:rPr>
                <w:rFonts w:ascii="宋体" w:hAnsi="宋体"/>
                <w:sz w:val="21"/>
                <w:highlight w:val="none"/>
              </w:rPr>
              <w:t>翟欢欢/4；谭鹏飞/2；潘军/1</w:t>
            </w:r>
          </w:p>
        </w:tc>
        <w:tc>
          <w:tcPr>
            <w:tcW w:w="1353" w:type="dxa"/>
            <w:noWrap w:val="0"/>
            <w:vAlign w:val="top"/>
          </w:tcPr>
          <w:p w14:paraId="146B2BB3">
            <w:pPr>
              <w:spacing w:line="280" w:lineRule="exact"/>
              <w:rPr>
                <w:highlight w:val="none"/>
              </w:rPr>
            </w:pPr>
            <w:r>
              <w:rPr>
                <w:rFonts w:ascii="宋体" w:hAnsi="宋体"/>
                <w:sz w:val="21"/>
                <w:highlight w:val="none"/>
              </w:rPr>
              <w:t>2023-04-27</w:t>
            </w:r>
          </w:p>
        </w:tc>
        <w:tc>
          <w:tcPr>
            <w:tcW w:w="1397" w:type="dxa"/>
            <w:noWrap w:val="0"/>
            <w:vAlign w:val="top"/>
          </w:tcPr>
          <w:p w14:paraId="00E00527">
            <w:pPr>
              <w:spacing w:line="280" w:lineRule="exact"/>
              <w:rPr>
                <w:highlight w:val="none"/>
              </w:rPr>
            </w:pPr>
            <w:r>
              <w:rPr>
                <w:rFonts w:ascii="宋体" w:hAnsi="宋体"/>
                <w:sz w:val="21"/>
                <w:highlight w:val="none"/>
              </w:rPr>
              <w:t>共同发表代表作1</w:t>
            </w:r>
          </w:p>
        </w:tc>
        <w:tc>
          <w:tcPr>
            <w:tcW w:w="1261" w:type="dxa"/>
            <w:noWrap w:val="0"/>
            <w:vAlign w:val="top"/>
          </w:tcPr>
          <w:p w14:paraId="27B954C4">
            <w:pPr>
              <w:spacing w:line="280" w:lineRule="exact"/>
              <w:rPr>
                <w:highlight w:val="none"/>
              </w:rPr>
            </w:pPr>
            <w:r>
              <w:rPr>
                <w:rFonts w:ascii="宋体" w:hAnsi="宋体"/>
                <w:sz w:val="21"/>
                <w:highlight w:val="none"/>
              </w:rPr>
              <w:t>代表作1</w:t>
            </w:r>
          </w:p>
        </w:tc>
        <w:tc>
          <w:tcPr>
            <w:tcW w:w="1064" w:type="dxa"/>
            <w:noWrap w:val="0"/>
            <w:vAlign w:val="top"/>
          </w:tcPr>
          <w:p w14:paraId="555E22CC">
            <w:pPr>
              <w:spacing w:line="280" w:lineRule="exact"/>
              <w:rPr>
                <w:highlight w:val="none"/>
              </w:rPr>
            </w:pPr>
          </w:p>
        </w:tc>
      </w:tr>
    </w:tbl>
    <w:p w14:paraId="0879B784">
      <w:pPr>
        <w:spacing w:line="540" w:lineRule="exact"/>
        <w:rPr>
          <w:rFonts w:hint="default" w:ascii="Times New Roman" w:hAnsi="Times New Roman" w:eastAsia="宋体" w:cs="Times New Roman"/>
          <w:color w:val="auto"/>
          <w:kern w:val="2"/>
          <w:sz w:val="21"/>
          <w:szCs w:val="21"/>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A7400A-2EEC-4DD8-8C4B-DE058B87A5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D53048"/>
    <w:rsid w:val="03074F92"/>
    <w:rsid w:val="0569596B"/>
    <w:rsid w:val="05723279"/>
    <w:rsid w:val="0A983F6E"/>
    <w:rsid w:val="0B1D58FE"/>
    <w:rsid w:val="0CE44986"/>
    <w:rsid w:val="0CE918AA"/>
    <w:rsid w:val="0D9A0475"/>
    <w:rsid w:val="107821CE"/>
    <w:rsid w:val="11576580"/>
    <w:rsid w:val="144E4536"/>
    <w:rsid w:val="14ED1FA1"/>
    <w:rsid w:val="1DDC2440"/>
    <w:rsid w:val="1F902194"/>
    <w:rsid w:val="20784E15"/>
    <w:rsid w:val="208512E0"/>
    <w:rsid w:val="209F6845"/>
    <w:rsid w:val="22A83271"/>
    <w:rsid w:val="28475C9F"/>
    <w:rsid w:val="318A0A64"/>
    <w:rsid w:val="37B26A07"/>
    <w:rsid w:val="3C4F5753"/>
    <w:rsid w:val="3E4F4455"/>
    <w:rsid w:val="3F292036"/>
    <w:rsid w:val="3FD80F7F"/>
    <w:rsid w:val="411B0182"/>
    <w:rsid w:val="42D53048"/>
    <w:rsid w:val="462E5DF2"/>
    <w:rsid w:val="462F1821"/>
    <w:rsid w:val="466E26B2"/>
    <w:rsid w:val="46D63D94"/>
    <w:rsid w:val="4B1055D4"/>
    <w:rsid w:val="4B83273C"/>
    <w:rsid w:val="4BF02A75"/>
    <w:rsid w:val="54E20E8F"/>
    <w:rsid w:val="559548EB"/>
    <w:rsid w:val="57C4203E"/>
    <w:rsid w:val="5A4774F5"/>
    <w:rsid w:val="5D3D7574"/>
    <w:rsid w:val="5F0539D7"/>
    <w:rsid w:val="5F4104EC"/>
    <w:rsid w:val="62C341FF"/>
    <w:rsid w:val="6382143C"/>
    <w:rsid w:val="646903C9"/>
    <w:rsid w:val="667201B0"/>
    <w:rsid w:val="678E121C"/>
    <w:rsid w:val="70FB78F5"/>
    <w:rsid w:val="726D27FD"/>
    <w:rsid w:val="777624CA"/>
    <w:rsid w:val="7C7C0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pPr>
      <w:spacing w:after="120"/>
    </w:pPr>
  </w:style>
  <w:style w:type="paragraph" w:styleId="3">
    <w:name w:val="Plain Text"/>
    <w:basedOn w:val="1"/>
    <w:semiHidden/>
    <w:qFormat/>
    <w:uiPriority w:val="0"/>
    <w:pPr>
      <w:spacing w:line="360" w:lineRule="auto"/>
      <w:ind w:firstLine="480" w:firstLineChars="200"/>
    </w:pPr>
    <w:rPr>
      <w:rFonts w:ascii="仿宋_GB2312"/>
      <w:sz w:val="24"/>
    </w:rPr>
  </w:style>
  <w:style w:type="table" w:styleId="5">
    <w:name w:val="Table Grid"/>
    <w:basedOn w:val="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1135</Words>
  <Characters>2673</Characters>
  <Lines>0</Lines>
  <Paragraphs>0</Paragraphs>
  <TotalTime>11</TotalTime>
  <ScaleCrop>false</ScaleCrop>
  <LinksUpToDate>false</LinksUpToDate>
  <CharactersWithSpaces>2957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2025-07-31T15:52:00Z</dcterms:created>
  <dc:creator>Chaya</dc:creator>
  <cp:lastModifiedBy>34580</cp:lastModifiedBy>
  <dcterms:modified xsi:type="dcterms:W3CDTF">2026-10-16T05:39:36Z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7BE7FE808DBC4953A7C14807270882BE_13</vt:lpwstr>
  </property>
  <property fmtid="{D5CDD505-2E9C-101B-9397-08002B2CF9AE}" pid="4" name="KSOTemplateDocerSaveRecord">
    <vt:lpwstr>eyJoZGlkIjoiNTdjZGI4MDE2Yzc3ZmZiNDc4MTU3N2UzNDMzOTc4MjQiLCJ1c2VySWQiOiIxNjUyMDgxNzc1In0=</vt:lpwstr>
  </property>
</Properties>
</file>