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5106D">
      <w:pPr>
        <w:spacing w:line="360" w:lineRule="auto"/>
        <w:jc w:val="center"/>
        <w:outlineLvl w:val="0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val="en-US"/>
        </w:rPr>
        <w:t>2026</w:t>
      </w:r>
      <w:r>
        <w:rPr>
          <w:rFonts w:hint="eastAsia" w:ascii="宋体" w:hAnsi="宋体" w:cs="宋体"/>
          <w:b/>
          <w:bCs/>
          <w:sz w:val="36"/>
          <w:szCs w:val="36"/>
        </w:rPr>
        <w:t>年度湖南省科学技术奖提名公示内容</w:t>
      </w:r>
    </w:p>
    <w:p w14:paraId="458EB039"/>
    <w:p w14:paraId="09F23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/>
          <w:b/>
          <w:bCs/>
          <w:color w:val="auto"/>
          <w:sz w:val="24"/>
          <w:szCs w:val="24"/>
        </w:rPr>
        <w:t>1、</w:t>
      </w:r>
      <w:r>
        <w:rPr>
          <w:b/>
          <w:bCs/>
          <w:color w:val="auto"/>
          <w:sz w:val="24"/>
          <w:szCs w:val="24"/>
        </w:rPr>
        <w:t>项目名称</w:t>
      </w:r>
      <w:r>
        <w:rPr>
          <w:rFonts w:hint="eastAsia"/>
          <w:b/>
          <w:bCs/>
          <w:color w:val="auto"/>
          <w:sz w:val="24"/>
          <w:szCs w:val="24"/>
        </w:rPr>
        <w:t>：</w:t>
      </w:r>
      <w:r>
        <w:rPr>
          <w:rFonts w:hint="eastAsia"/>
          <w:b w:val="0"/>
          <w:bCs w:val="0"/>
          <w:color w:val="auto"/>
          <w:sz w:val="24"/>
          <w:szCs w:val="24"/>
        </w:rPr>
        <w:t>淡水养殖动物抗细菌感染的先天免疫应答与稳态调控机制研究</w:t>
      </w:r>
    </w:p>
    <w:p w14:paraId="561EC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2、提名单位（专家）：</w:t>
      </w:r>
      <w:r>
        <w:rPr>
          <w:rFonts w:hint="eastAsia"/>
          <w:sz w:val="24"/>
          <w:szCs w:val="24"/>
        </w:rPr>
        <w:t>长沙学院</w:t>
      </w:r>
    </w:p>
    <w:p w14:paraId="1BB2C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3、提名等级：</w:t>
      </w:r>
      <w:r>
        <w:rPr>
          <w:rFonts w:hint="eastAsia"/>
          <w:sz w:val="24"/>
          <w:szCs w:val="24"/>
        </w:rPr>
        <w:t>湖南省自然科学奖 三等奖</w:t>
      </w:r>
    </w:p>
    <w:p w14:paraId="2B173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4</w:t>
      </w:r>
      <w:r>
        <w:rPr>
          <w:rFonts w:hint="eastAsia"/>
          <w:b/>
          <w:bCs/>
          <w:sz w:val="24"/>
          <w:szCs w:val="24"/>
        </w:rPr>
        <w:t>、代表作（含论文、专著）</w:t>
      </w:r>
      <w:r>
        <w:rPr>
          <w:b/>
          <w:bCs/>
          <w:sz w:val="24"/>
          <w:szCs w:val="24"/>
        </w:rPr>
        <w:t>目录</w:t>
      </w:r>
      <w:r>
        <w:rPr>
          <w:rFonts w:hint="eastAsia"/>
          <w:b/>
          <w:bCs/>
          <w:sz w:val="24"/>
          <w:szCs w:val="24"/>
        </w:rPr>
        <w:t>：</w:t>
      </w:r>
    </w:p>
    <w:tbl>
      <w:tblPr>
        <w:tblStyle w:val="5"/>
        <w:tblW w:w="104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"/>
        <w:gridCol w:w="2085"/>
        <w:gridCol w:w="732"/>
        <w:gridCol w:w="763"/>
        <w:gridCol w:w="945"/>
        <w:gridCol w:w="936"/>
        <w:gridCol w:w="1058"/>
        <w:gridCol w:w="1179"/>
        <w:gridCol w:w="560"/>
        <w:gridCol w:w="742"/>
        <w:gridCol w:w="1005"/>
      </w:tblGrid>
      <w:tr w14:paraId="51EB34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395" w:type="dxa"/>
            <w:noWrap w:val="0"/>
            <w:vAlign w:val="center"/>
          </w:tcPr>
          <w:p w14:paraId="413C15FD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序号</w:t>
            </w:r>
          </w:p>
        </w:tc>
        <w:tc>
          <w:tcPr>
            <w:tcW w:w="2085" w:type="dxa"/>
            <w:noWrap w:val="0"/>
            <w:vAlign w:val="center"/>
          </w:tcPr>
          <w:p w14:paraId="7FCDE319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代表作</w:t>
            </w: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名称/刊名/</w:t>
            </w:r>
          </w:p>
          <w:p w14:paraId="5353AE0C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作者</w:t>
            </w:r>
          </w:p>
        </w:tc>
        <w:tc>
          <w:tcPr>
            <w:tcW w:w="732" w:type="dxa"/>
            <w:noWrap w:val="0"/>
            <w:vAlign w:val="center"/>
          </w:tcPr>
          <w:p w14:paraId="6288DE9A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年卷页码</w:t>
            </w:r>
          </w:p>
          <w:p w14:paraId="43972840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（xx年xx卷</w:t>
            </w:r>
          </w:p>
          <w:p w14:paraId="55049858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xx页）</w:t>
            </w:r>
          </w:p>
        </w:tc>
        <w:tc>
          <w:tcPr>
            <w:tcW w:w="763" w:type="dxa"/>
            <w:noWrap w:val="0"/>
            <w:vAlign w:val="center"/>
          </w:tcPr>
          <w:p w14:paraId="4DAF0BE0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发表时间</w:t>
            </w:r>
            <w:r>
              <w:rPr>
                <w:rFonts w:ascii="Times New Roman" w:eastAsia="黑体"/>
                <w:color w:val="auto"/>
                <w:sz w:val="21"/>
                <w:szCs w:val="28"/>
                <w:highlight w:val="none"/>
              </w:rPr>
              <w:t>（</w:t>
            </w: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年月 日）</w:t>
            </w:r>
          </w:p>
        </w:tc>
        <w:tc>
          <w:tcPr>
            <w:tcW w:w="945" w:type="dxa"/>
            <w:noWrap w:val="0"/>
            <w:vAlign w:val="center"/>
          </w:tcPr>
          <w:p w14:paraId="02E4C383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hint="eastAsia" w:ascii="Times New Roman" w:eastAsia="宋体"/>
                <w:color w:val="auto"/>
                <w:sz w:val="21"/>
                <w:szCs w:val="28"/>
                <w:highlight w:val="none"/>
                <w:lang w:eastAsia="zh-CN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通讯作者（含共同）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eastAsia="zh-CN"/>
              </w:rPr>
              <w:t>及其署名单位</w:t>
            </w:r>
          </w:p>
        </w:tc>
        <w:tc>
          <w:tcPr>
            <w:tcW w:w="936" w:type="dxa"/>
            <w:noWrap w:val="0"/>
            <w:vAlign w:val="center"/>
          </w:tcPr>
          <w:p w14:paraId="14846320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第一作者（含共同）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eastAsia="zh-CN"/>
              </w:rPr>
              <w:t>及其署名单位</w:t>
            </w:r>
          </w:p>
        </w:tc>
        <w:tc>
          <w:tcPr>
            <w:tcW w:w="1058" w:type="dxa"/>
            <w:noWrap w:val="0"/>
            <w:vAlign w:val="center"/>
          </w:tcPr>
          <w:p w14:paraId="30246521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论文第一署名单位（或专著第一、第二作者工作单位）</w:t>
            </w:r>
          </w:p>
        </w:tc>
        <w:tc>
          <w:tcPr>
            <w:tcW w:w="1179" w:type="dxa"/>
            <w:noWrap w:val="0"/>
            <w:vAlign w:val="center"/>
          </w:tcPr>
          <w:p w14:paraId="3280844D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eastAsia="zh-CN"/>
              </w:rPr>
              <w:t>列入项目主要完成人的作者（排序）</w:t>
            </w:r>
          </w:p>
        </w:tc>
        <w:tc>
          <w:tcPr>
            <w:tcW w:w="560" w:type="dxa"/>
            <w:noWrap w:val="0"/>
            <w:vAlign w:val="center"/>
          </w:tcPr>
          <w:p w14:paraId="53EA5FC5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他引总次数</w:t>
            </w:r>
          </w:p>
        </w:tc>
        <w:tc>
          <w:tcPr>
            <w:tcW w:w="742" w:type="dxa"/>
            <w:noWrap w:val="0"/>
            <w:vAlign w:val="center"/>
          </w:tcPr>
          <w:p w14:paraId="76050796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检索数据库</w:t>
            </w:r>
          </w:p>
        </w:tc>
        <w:tc>
          <w:tcPr>
            <w:tcW w:w="1005" w:type="dxa"/>
            <w:noWrap w:val="0"/>
            <w:vAlign w:val="center"/>
          </w:tcPr>
          <w:p w14:paraId="6D3266BA">
            <w:pPr>
              <w:pStyle w:val="2"/>
              <w:spacing w:line="240" w:lineRule="auto"/>
              <w:ind w:firstLine="0" w:firstLineChars="0"/>
              <w:jc w:val="center"/>
              <w:outlineLvl w:val="1"/>
              <w:rPr>
                <w:rFonts w:hint="eastAsia" w:ascii="Times New Roman" w:eastAsia="宋体"/>
                <w:color w:val="auto"/>
                <w:sz w:val="21"/>
                <w:szCs w:val="28"/>
                <w:highlight w:val="none"/>
                <w:lang w:eastAsia="zh-CN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是否国内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eastAsia="zh-CN"/>
              </w:rPr>
              <w:t>期刊发表的论文（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国内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eastAsia="zh-CN"/>
              </w:rPr>
              <w:t>出版的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专著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eastAsia="zh-CN"/>
              </w:rPr>
              <w:t>）</w:t>
            </w:r>
          </w:p>
        </w:tc>
      </w:tr>
      <w:tr w14:paraId="5A7DD8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395" w:type="dxa"/>
            <w:noWrap w:val="0"/>
            <w:vAlign w:val="center"/>
          </w:tcPr>
          <w:p w14:paraId="0933985A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1</w:t>
            </w:r>
          </w:p>
        </w:tc>
        <w:tc>
          <w:tcPr>
            <w:tcW w:w="2085" w:type="dxa"/>
            <w:noWrap w:val="0"/>
            <w:vAlign w:val="center"/>
          </w:tcPr>
          <w:p w14:paraId="3493B9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 w:val="21"/>
                <w:szCs w:val="21"/>
              </w:rPr>
              <w:t xml:space="preserve">Effects of </w:t>
            </w:r>
            <w:r>
              <w:rPr>
                <w:rFonts w:hint="default" w:ascii="Times New Roman" w:hAnsi="Times New Roman" w:eastAsia="宋体" w:cs="Times New Roman"/>
                <w:bCs/>
                <w:i/>
                <w:iCs/>
                <w:color w:val="auto"/>
                <w:sz w:val="21"/>
                <w:szCs w:val="21"/>
              </w:rPr>
              <w:t xml:space="preserve">Aeromonas 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1"/>
                <w:szCs w:val="21"/>
              </w:rPr>
              <w:t>infection on the immune system, physical barriers and microflora structure in the intestine of juvenile grass carp (</w:t>
            </w:r>
            <w:r>
              <w:rPr>
                <w:rFonts w:hint="default" w:ascii="Times New Roman" w:hAnsi="Times New Roman" w:eastAsia="宋体" w:cs="Times New Roman"/>
                <w:bCs/>
                <w:i/>
                <w:iCs/>
                <w:color w:val="auto"/>
                <w:sz w:val="21"/>
                <w:szCs w:val="21"/>
              </w:rPr>
              <w:t>Ctenopharyngodon idella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1"/>
                <w:szCs w:val="21"/>
              </w:rPr>
              <w:t xml:space="preserve">). 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 xml:space="preserve">/ 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1"/>
                <w:szCs w:val="21"/>
              </w:rPr>
              <w:t xml:space="preserve">Fish &amp; Shellfish Immunology 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 xml:space="preserve">/ 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1"/>
                <w:szCs w:val="21"/>
              </w:rPr>
              <w:t>Meixing Guo, Ran Peng, Kelan Jin, Xia Zhang, Huilan Mo, Xiang Li, Fufa Qu*, Jianzhou Tang, Shenping Cao, Yonghua Zhou, Zhimin He, Zhuangwen Mao, Junde Fan, Jianzhong Li, Zhen Liu*.</w:t>
            </w:r>
          </w:p>
        </w:tc>
        <w:tc>
          <w:tcPr>
            <w:tcW w:w="732" w:type="dxa"/>
            <w:noWrap w:val="0"/>
            <w:vAlign w:val="center"/>
          </w:tcPr>
          <w:p w14:paraId="7A1B43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2024, 153: 109790.</w:t>
            </w:r>
          </w:p>
        </w:tc>
        <w:tc>
          <w:tcPr>
            <w:tcW w:w="763" w:type="dxa"/>
            <w:noWrap w:val="0"/>
            <w:vAlign w:val="center"/>
          </w:tcPr>
          <w:p w14:paraId="780E1D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2024年10月01日</w:t>
            </w:r>
          </w:p>
        </w:tc>
        <w:tc>
          <w:tcPr>
            <w:tcW w:w="945" w:type="dxa"/>
            <w:noWrap w:val="0"/>
            <w:vAlign w:val="center"/>
          </w:tcPr>
          <w:p w14:paraId="1B1949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瞿符发（长沙学院）</w:t>
            </w:r>
          </w:p>
          <w:p w14:paraId="707171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刘臻（长沙学院）</w:t>
            </w:r>
          </w:p>
        </w:tc>
        <w:tc>
          <w:tcPr>
            <w:tcW w:w="936" w:type="dxa"/>
            <w:noWrap w:val="0"/>
            <w:vAlign w:val="center"/>
          </w:tcPr>
          <w:p w14:paraId="31D9E2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郭美杏（长沙学院）</w:t>
            </w:r>
          </w:p>
        </w:tc>
        <w:tc>
          <w:tcPr>
            <w:tcW w:w="1058" w:type="dxa"/>
            <w:noWrap w:val="0"/>
            <w:vAlign w:val="center"/>
          </w:tcPr>
          <w:p w14:paraId="2BC8A7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长沙学院</w:t>
            </w:r>
          </w:p>
        </w:tc>
        <w:tc>
          <w:tcPr>
            <w:tcW w:w="1179" w:type="dxa"/>
            <w:noWrap w:val="0"/>
            <w:vAlign w:val="center"/>
          </w:tcPr>
          <w:p w14:paraId="1BBA4E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瞿符发/7</w:t>
            </w:r>
          </w:p>
          <w:p w14:paraId="3F847C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唐建洲/8</w:t>
            </w:r>
          </w:p>
          <w:p w14:paraId="2C7514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曹申平/9</w:t>
            </w:r>
          </w:p>
          <w:p w14:paraId="353DAC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周勇华/10</w:t>
            </w:r>
          </w:p>
          <w:p w14:paraId="010855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刘臻/15</w:t>
            </w:r>
          </w:p>
        </w:tc>
        <w:tc>
          <w:tcPr>
            <w:tcW w:w="560" w:type="dxa"/>
            <w:noWrap w:val="0"/>
            <w:vAlign w:val="center"/>
          </w:tcPr>
          <w:p w14:paraId="1563861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42" w:type="dxa"/>
            <w:noWrap w:val="0"/>
            <w:vAlign w:val="center"/>
          </w:tcPr>
          <w:p w14:paraId="3D9961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WOS</w:t>
            </w:r>
          </w:p>
        </w:tc>
        <w:tc>
          <w:tcPr>
            <w:tcW w:w="1005" w:type="dxa"/>
            <w:noWrap w:val="0"/>
            <w:vAlign w:val="center"/>
          </w:tcPr>
          <w:p w14:paraId="0882BF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0BD6D8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395" w:type="dxa"/>
            <w:noWrap w:val="0"/>
            <w:vAlign w:val="center"/>
          </w:tcPr>
          <w:p w14:paraId="6E2376CF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2</w:t>
            </w:r>
          </w:p>
        </w:tc>
        <w:tc>
          <w:tcPr>
            <w:tcW w:w="2085" w:type="dxa"/>
            <w:noWrap w:val="0"/>
            <w:vAlign w:val="center"/>
          </w:tcPr>
          <w:p w14:paraId="5BB134A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 xml:space="preserve">Molecular characterization of MyD88 in </w:t>
            </w:r>
            <w:r>
              <w:rPr>
                <w:rFonts w:hint="default" w:ascii="Times New Roman" w:hAnsi="Times New Roman" w:cs="Times New Roman" w:eastAsiaTheme="minorEastAsia"/>
                <w:bCs/>
                <w:i/>
                <w:sz w:val="21"/>
                <w:szCs w:val="21"/>
              </w:rPr>
              <w:t>Anodonta woodiana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 xml:space="preserve"> and its involvement in the innate immune response to bacterial infection. / Frontiers in Immunology/ Fufa Qu*, Qing She, Jialing Li, Xuan Zeng, Yumiao Li, Xinyu Liu, Lingxin Ren, Zhenzhen Liu, Chaorang Gao, Xinyu Lu, Mengyao Long, Xinya Li.</w:t>
            </w:r>
          </w:p>
        </w:tc>
        <w:tc>
          <w:tcPr>
            <w:tcW w:w="732" w:type="dxa"/>
            <w:noWrap w:val="0"/>
            <w:vAlign w:val="center"/>
          </w:tcPr>
          <w:p w14:paraId="4A86CAC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 xml:space="preserve">2022, 13: 925168. </w:t>
            </w:r>
          </w:p>
        </w:tc>
        <w:tc>
          <w:tcPr>
            <w:tcW w:w="763" w:type="dxa"/>
            <w:shd w:val="clear" w:color="auto" w:fill="auto"/>
            <w:noWrap w:val="0"/>
            <w:vAlign w:val="center"/>
          </w:tcPr>
          <w:p w14:paraId="35A8CA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2022年06月10日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4AF6E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瞿符发（长沙学院）</w:t>
            </w:r>
          </w:p>
        </w:tc>
        <w:tc>
          <w:tcPr>
            <w:tcW w:w="936" w:type="dxa"/>
            <w:shd w:val="clear" w:color="auto" w:fill="auto"/>
            <w:noWrap w:val="0"/>
            <w:vAlign w:val="center"/>
          </w:tcPr>
          <w:p w14:paraId="786406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瞿符发（长沙学院）佘青（长沙学院）</w:t>
            </w:r>
          </w:p>
        </w:tc>
        <w:tc>
          <w:tcPr>
            <w:tcW w:w="1058" w:type="dxa"/>
            <w:shd w:val="clear" w:color="auto" w:fill="auto"/>
            <w:noWrap w:val="0"/>
            <w:vAlign w:val="center"/>
          </w:tcPr>
          <w:p w14:paraId="34EA5C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长沙学院</w:t>
            </w:r>
          </w:p>
        </w:tc>
        <w:tc>
          <w:tcPr>
            <w:tcW w:w="1179" w:type="dxa"/>
            <w:noWrap w:val="0"/>
            <w:vAlign w:val="center"/>
          </w:tcPr>
          <w:p w14:paraId="515E15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瞿符发/1</w:t>
            </w:r>
          </w:p>
        </w:tc>
        <w:tc>
          <w:tcPr>
            <w:tcW w:w="560" w:type="dxa"/>
            <w:shd w:val="clear" w:color="auto" w:fill="auto"/>
            <w:noWrap w:val="0"/>
            <w:vAlign w:val="center"/>
          </w:tcPr>
          <w:p w14:paraId="12D23C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42" w:type="dxa"/>
            <w:shd w:val="clear" w:color="auto" w:fill="auto"/>
            <w:noWrap w:val="0"/>
            <w:vAlign w:val="center"/>
          </w:tcPr>
          <w:p w14:paraId="723FF4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WOS</w:t>
            </w:r>
          </w:p>
        </w:tc>
        <w:tc>
          <w:tcPr>
            <w:tcW w:w="1005" w:type="dxa"/>
            <w:shd w:val="clear" w:color="auto" w:fill="auto"/>
            <w:noWrap w:val="0"/>
            <w:vAlign w:val="center"/>
          </w:tcPr>
          <w:p w14:paraId="7C9080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71A1F1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395" w:type="dxa"/>
            <w:noWrap w:val="0"/>
            <w:vAlign w:val="center"/>
          </w:tcPr>
          <w:p w14:paraId="3E0C3746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3</w:t>
            </w:r>
          </w:p>
        </w:tc>
        <w:tc>
          <w:tcPr>
            <w:tcW w:w="2085" w:type="dxa"/>
            <w:noWrap w:val="0"/>
            <w:vAlign w:val="center"/>
          </w:tcPr>
          <w:p w14:paraId="218667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A molluscan TNF receptor-associated factor 2 (TRAF2) was involved in host defense against immune challenges. / Fish &amp; Shellfish Immunology / Fufa Qu*, Zhiming Xiang, Yingli Zhou, Yanping Qin.</w:t>
            </w:r>
          </w:p>
        </w:tc>
        <w:tc>
          <w:tcPr>
            <w:tcW w:w="732" w:type="dxa"/>
            <w:noWrap w:val="0"/>
            <w:vAlign w:val="center"/>
          </w:tcPr>
          <w:p w14:paraId="7D3802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2017, 71: 105-115.</w:t>
            </w:r>
          </w:p>
        </w:tc>
        <w:tc>
          <w:tcPr>
            <w:tcW w:w="763" w:type="dxa"/>
            <w:shd w:val="clear" w:color="auto" w:fill="auto"/>
            <w:noWrap w:val="0"/>
            <w:vAlign w:val="center"/>
          </w:tcPr>
          <w:p w14:paraId="7DE36C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2017年12月01日</w:t>
            </w:r>
          </w:p>
        </w:tc>
        <w:tc>
          <w:tcPr>
            <w:tcW w:w="945" w:type="dxa"/>
            <w:noWrap w:val="0"/>
            <w:vAlign w:val="center"/>
          </w:tcPr>
          <w:p w14:paraId="4A08E30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瞿符发（长沙学院）</w:t>
            </w:r>
          </w:p>
        </w:tc>
        <w:tc>
          <w:tcPr>
            <w:tcW w:w="936" w:type="dxa"/>
            <w:noWrap w:val="0"/>
            <w:vAlign w:val="center"/>
          </w:tcPr>
          <w:p w14:paraId="618914C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瞿符发（长沙学院）向志明（中国科学院南海海洋研究所）</w:t>
            </w:r>
          </w:p>
        </w:tc>
        <w:tc>
          <w:tcPr>
            <w:tcW w:w="1058" w:type="dxa"/>
            <w:shd w:val="clear" w:color="auto" w:fill="auto"/>
            <w:noWrap w:val="0"/>
            <w:vAlign w:val="center"/>
          </w:tcPr>
          <w:p w14:paraId="39DA5F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长沙学院</w:t>
            </w:r>
          </w:p>
        </w:tc>
        <w:tc>
          <w:tcPr>
            <w:tcW w:w="1179" w:type="dxa"/>
            <w:shd w:val="clear" w:color="auto" w:fill="auto"/>
            <w:noWrap w:val="0"/>
            <w:vAlign w:val="center"/>
          </w:tcPr>
          <w:p w14:paraId="1C2186A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瞿符发/1</w:t>
            </w:r>
          </w:p>
        </w:tc>
        <w:tc>
          <w:tcPr>
            <w:tcW w:w="560" w:type="dxa"/>
            <w:shd w:val="clear" w:color="auto" w:fill="auto"/>
            <w:noWrap w:val="0"/>
            <w:vAlign w:val="center"/>
          </w:tcPr>
          <w:p w14:paraId="418E3B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742" w:type="dxa"/>
            <w:shd w:val="clear" w:color="auto" w:fill="auto"/>
            <w:noWrap w:val="0"/>
            <w:vAlign w:val="center"/>
          </w:tcPr>
          <w:p w14:paraId="007EA8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WOS</w:t>
            </w:r>
          </w:p>
        </w:tc>
        <w:tc>
          <w:tcPr>
            <w:tcW w:w="1005" w:type="dxa"/>
            <w:shd w:val="clear" w:color="auto" w:fill="auto"/>
            <w:noWrap w:val="0"/>
            <w:vAlign w:val="center"/>
          </w:tcPr>
          <w:p w14:paraId="4E5A62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0C5F53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395" w:type="dxa"/>
            <w:noWrap w:val="0"/>
            <w:vAlign w:val="center"/>
          </w:tcPr>
          <w:p w14:paraId="102B5828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4</w:t>
            </w:r>
          </w:p>
        </w:tc>
        <w:tc>
          <w:tcPr>
            <w:tcW w:w="2085" w:type="dxa"/>
            <w:noWrap w:val="0"/>
            <w:vAlign w:val="center"/>
          </w:tcPr>
          <w:p w14:paraId="1B53C0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 xml:space="preserve">Tumor necrosis factor receptor-associated factor 3 from </w:t>
            </w:r>
            <w:r>
              <w:rPr>
                <w:rFonts w:hint="default" w:ascii="Times New Roman" w:hAnsi="Times New Roman" w:cs="Times New Roman" w:eastAsiaTheme="minorEastAsia"/>
                <w:bCs/>
                <w:i/>
                <w:iCs/>
                <w:sz w:val="21"/>
                <w:szCs w:val="21"/>
              </w:rPr>
              <w:t>Anodonta woodiana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 xml:space="preserve"> is an important factor in bivalve immune response to pathogen infection. / Fish &amp; Shellfish Immunology / Fufa Qu*, Zhiming Xiang, Yingli Zhou, Yanping Qin, Ziniu Yu.</w:t>
            </w:r>
          </w:p>
        </w:tc>
        <w:tc>
          <w:tcPr>
            <w:tcW w:w="732" w:type="dxa"/>
            <w:noWrap w:val="0"/>
            <w:vAlign w:val="center"/>
          </w:tcPr>
          <w:p w14:paraId="3B3367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2017, 71: 151-159.</w:t>
            </w:r>
          </w:p>
        </w:tc>
        <w:tc>
          <w:tcPr>
            <w:tcW w:w="763" w:type="dxa"/>
            <w:shd w:val="clear" w:color="auto" w:fill="auto"/>
            <w:noWrap w:val="0"/>
            <w:vAlign w:val="center"/>
          </w:tcPr>
          <w:p w14:paraId="15D08B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2017年12月01日</w:t>
            </w:r>
          </w:p>
        </w:tc>
        <w:tc>
          <w:tcPr>
            <w:tcW w:w="945" w:type="dxa"/>
            <w:noWrap w:val="0"/>
            <w:vAlign w:val="center"/>
          </w:tcPr>
          <w:p w14:paraId="506109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瞿符发（长沙学院）</w:t>
            </w:r>
          </w:p>
        </w:tc>
        <w:tc>
          <w:tcPr>
            <w:tcW w:w="936" w:type="dxa"/>
            <w:noWrap w:val="0"/>
            <w:vAlign w:val="center"/>
          </w:tcPr>
          <w:p w14:paraId="4439FF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瞿符发（长沙学院）向志明（中国科学院南海海洋研究所）</w:t>
            </w:r>
          </w:p>
        </w:tc>
        <w:tc>
          <w:tcPr>
            <w:tcW w:w="1058" w:type="dxa"/>
            <w:shd w:val="clear" w:color="auto" w:fill="auto"/>
            <w:noWrap w:val="0"/>
            <w:vAlign w:val="center"/>
          </w:tcPr>
          <w:p w14:paraId="236D2E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长沙学院</w:t>
            </w:r>
          </w:p>
        </w:tc>
        <w:tc>
          <w:tcPr>
            <w:tcW w:w="1179" w:type="dxa"/>
            <w:shd w:val="clear" w:color="auto" w:fill="auto"/>
            <w:noWrap w:val="0"/>
            <w:vAlign w:val="center"/>
          </w:tcPr>
          <w:p w14:paraId="7C4F12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瞿符发/1</w:t>
            </w:r>
          </w:p>
        </w:tc>
        <w:tc>
          <w:tcPr>
            <w:tcW w:w="560" w:type="dxa"/>
            <w:shd w:val="clear" w:color="auto" w:fill="auto"/>
            <w:noWrap w:val="0"/>
            <w:vAlign w:val="center"/>
          </w:tcPr>
          <w:p w14:paraId="75FDA1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42" w:type="dxa"/>
            <w:shd w:val="clear" w:color="auto" w:fill="auto"/>
            <w:noWrap w:val="0"/>
            <w:vAlign w:val="center"/>
          </w:tcPr>
          <w:p w14:paraId="1961B8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WOS</w:t>
            </w:r>
          </w:p>
        </w:tc>
        <w:tc>
          <w:tcPr>
            <w:tcW w:w="1005" w:type="dxa"/>
            <w:shd w:val="clear" w:color="auto" w:fill="auto"/>
            <w:noWrap w:val="0"/>
            <w:vAlign w:val="center"/>
          </w:tcPr>
          <w:p w14:paraId="0AA37AE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0536A3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395" w:type="dxa"/>
            <w:noWrap w:val="0"/>
            <w:vAlign w:val="center"/>
          </w:tcPr>
          <w:p w14:paraId="15D5ED9B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5</w:t>
            </w:r>
          </w:p>
        </w:tc>
        <w:tc>
          <w:tcPr>
            <w:tcW w:w="2085" w:type="dxa"/>
            <w:noWrap w:val="0"/>
            <w:vAlign w:val="center"/>
          </w:tcPr>
          <w:p w14:paraId="089CD1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 xml:space="preserve">p38 mitogen-activated protein kinases (MAPKs) are involved in intestinal immune response to bacterial muramyl dipeptide challenge in </w:t>
            </w:r>
            <w:r>
              <w:rPr>
                <w:rFonts w:hint="default" w:ascii="Times New Roman" w:hAnsi="Times New Roman" w:cs="Times New Roman" w:eastAsiaTheme="minorEastAsia"/>
                <w:bCs/>
                <w:i/>
                <w:iCs/>
                <w:color w:val="auto"/>
                <w:sz w:val="21"/>
                <w:szCs w:val="21"/>
              </w:rPr>
              <w:t>Ctenopharyngodon idella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 xml:space="preserve">/ 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 xml:space="preserve">Molecular Immunology 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 xml:space="preserve"> Yuandong Sun, Wenqian Xu, Die Li, Hui Zhou, Fufa Qu*, Shenping Cao,</w:t>
            </w:r>
            <w:r>
              <w:rPr>
                <w:rFonts w:hint="eastAsia" w:asci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Jianzhou Tang, Yonghua Zhou, Zhimin He, Hang Li, Zhigang Zhou, Zhen Liu*.</w:t>
            </w:r>
          </w:p>
        </w:tc>
        <w:tc>
          <w:tcPr>
            <w:tcW w:w="732" w:type="dxa"/>
            <w:noWrap w:val="0"/>
            <w:vAlign w:val="center"/>
          </w:tcPr>
          <w:p w14:paraId="43DDC1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2020, 118: 79-90.</w:t>
            </w:r>
          </w:p>
        </w:tc>
        <w:tc>
          <w:tcPr>
            <w:tcW w:w="763" w:type="dxa"/>
            <w:shd w:val="clear" w:color="auto" w:fill="auto"/>
            <w:noWrap w:val="0"/>
            <w:vAlign w:val="center"/>
          </w:tcPr>
          <w:p w14:paraId="2D596C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2020年02月01日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75660E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瞿符发（长沙学院）</w:t>
            </w:r>
          </w:p>
          <w:p w14:paraId="6189D8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刘臻（长沙学院）</w:t>
            </w:r>
          </w:p>
        </w:tc>
        <w:tc>
          <w:tcPr>
            <w:tcW w:w="936" w:type="dxa"/>
            <w:noWrap w:val="0"/>
            <w:vAlign w:val="center"/>
          </w:tcPr>
          <w:p w14:paraId="5F4AF4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孙远东（湖南科技大学）</w:t>
            </w:r>
          </w:p>
        </w:tc>
        <w:tc>
          <w:tcPr>
            <w:tcW w:w="1058" w:type="dxa"/>
            <w:noWrap w:val="0"/>
            <w:vAlign w:val="center"/>
          </w:tcPr>
          <w:p w14:paraId="37B062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湖南科技大学</w:t>
            </w:r>
          </w:p>
        </w:tc>
        <w:tc>
          <w:tcPr>
            <w:tcW w:w="1179" w:type="dxa"/>
            <w:shd w:val="clear" w:color="auto" w:fill="auto"/>
            <w:noWrap w:val="0"/>
            <w:vAlign w:val="center"/>
          </w:tcPr>
          <w:p w14:paraId="6E1443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孙远东/1</w:t>
            </w:r>
          </w:p>
          <w:p w14:paraId="2DA33A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瞿符发/5</w:t>
            </w:r>
          </w:p>
          <w:p w14:paraId="3AAC39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曹申平/6</w:t>
            </w:r>
          </w:p>
          <w:p w14:paraId="6B6B60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唐建洲/7</w:t>
            </w:r>
          </w:p>
          <w:p w14:paraId="220730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周勇华/8</w:t>
            </w:r>
          </w:p>
          <w:p w14:paraId="765115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刘臻/12</w:t>
            </w:r>
          </w:p>
        </w:tc>
        <w:tc>
          <w:tcPr>
            <w:tcW w:w="560" w:type="dxa"/>
            <w:shd w:val="clear" w:color="auto" w:fill="auto"/>
            <w:noWrap w:val="0"/>
            <w:vAlign w:val="center"/>
          </w:tcPr>
          <w:p w14:paraId="1436C5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742" w:type="dxa"/>
            <w:shd w:val="clear" w:color="auto" w:fill="auto"/>
            <w:noWrap w:val="0"/>
            <w:vAlign w:val="center"/>
          </w:tcPr>
          <w:p w14:paraId="7B4F71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WOS</w:t>
            </w:r>
          </w:p>
        </w:tc>
        <w:tc>
          <w:tcPr>
            <w:tcW w:w="1005" w:type="dxa"/>
            <w:shd w:val="clear" w:color="auto" w:fill="auto"/>
            <w:noWrap w:val="0"/>
            <w:vAlign w:val="center"/>
          </w:tcPr>
          <w:p w14:paraId="79409E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60" w:lineRule="exact"/>
              <w:ind w:firstLine="0" w:firstLineChars="0"/>
              <w:jc w:val="center"/>
              <w:textAlignment w:val="auto"/>
              <w:outlineLvl w:val="1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1D12EA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6914" w:type="dxa"/>
            <w:gridSpan w:val="7"/>
            <w:noWrap w:val="0"/>
            <w:vAlign w:val="center"/>
          </w:tcPr>
          <w:p w14:paraId="00EF6FE7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合  计</w:t>
            </w:r>
          </w:p>
        </w:tc>
        <w:tc>
          <w:tcPr>
            <w:tcW w:w="1179" w:type="dxa"/>
            <w:noWrap w:val="0"/>
            <w:vAlign w:val="center"/>
          </w:tcPr>
          <w:p w14:paraId="33B18BFF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560" w:type="dxa"/>
            <w:noWrap w:val="0"/>
            <w:vAlign w:val="center"/>
          </w:tcPr>
          <w:p w14:paraId="5BE84FC4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hint="default" w:ascii="Times New Roman" w:eastAsia="宋体"/>
                <w:color w:val="auto"/>
                <w:sz w:val="21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val="en-US" w:eastAsia="zh-CN"/>
              </w:rPr>
              <w:t>92</w:t>
            </w:r>
          </w:p>
        </w:tc>
        <w:tc>
          <w:tcPr>
            <w:tcW w:w="742" w:type="dxa"/>
            <w:noWrap w:val="0"/>
            <w:vAlign w:val="center"/>
          </w:tcPr>
          <w:p w14:paraId="3FF29CB2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4F3F6081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</w:tr>
    </w:tbl>
    <w:p w14:paraId="1B39E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5</w:t>
      </w:r>
      <w:r>
        <w:rPr>
          <w:rFonts w:hint="eastAsia"/>
          <w:b/>
          <w:bCs/>
          <w:sz w:val="24"/>
          <w:szCs w:val="24"/>
        </w:rPr>
        <w:t>、主要完成人：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瞿符发、刘臻、孙远东、唐建洲、曹申平、周勇华</w:t>
      </w:r>
    </w:p>
    <w:p w14:paraId="3B6B4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6</w:t>
      </w:r>
      <w:r>
        <w:rPr>
          <w:rFonts w:hint="eastAsia"/>
          <w:b/>
          <w:bCs/>
          <w:sz w:val="24"/>
          <w:szCs w:val="24"/>
        </w:rPr>
        <w:t>、主要完成单位：</w:t>
      </w:r>
      <w:r>
        <w:rPr>
          <w:rFonts w:hint="eastAsia"/>
          <w:sz w:val="24"/>
          <w:szCs w:val="24"/>
        </w:rPr>
        <w:t>长沙学院、</w:t>
      </w:r>
      <w:r>
        <w:rPr>
          <w:rFonts w:hint="eastAsia"/>
          <w:sz w:val="24"/>
          <w:szCs w:val="24"/>
          <w:lang w:val="en-US" w:eastAsia="zh-CN"/>
        </w:rPr>
        <w:t>湖南科技大学</w:t>
      </w:r>
    </w:p>
    <w:p w14:paraId="6CD8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7</w:t>
      </w:r>
      <w:r>
        <w:rPr>
          <w:rFonts w:hint="eastAsia"/>
          <w:b/>
          <w:bCs/>
          <w:sz w:val="24"/>
          <w:szCs w:val="24"/>
        </w:rPr>
        <w:t>、主要完成人合作关系说明</w:t>
      </w:r>
      <w:r>
        <w:rPr>
          <w:rFonts w:hint="eastAsia"/>
          <w:b/>
          <w:bCs/>
          <w:sz w:val="24"/>
          <w:szCs w:val="24"/>
          <w:lang w:eastAsia="zh-CN"/>
        </w:rPr>
        <w:t>（含汇总表）</w:t>
      </w:r>
      <w:r>
        <w:rPr>
          <w:rFonts w:hint="eastAsia"/>
          <w:b/>
          <w:bCs/>
          <w:sz w:val="24"/>
          <w:szCs w:val="24"/>
        </w:rPr>
        <w:t>：</w:t>
      </w:r>
    </w:p>
    <w:p w14:paraId="165E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cs="Times New Roman"/>
          <w:sz w:val="24"/>
          <w:szCs w:val="24"/>
        </w:rPr>
        <w:t>，长沙学院瞿符发（第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</w:rPr>
        <w:t>完成人）和</w:t>
      </w:r>
      <w:r>
        <w:rPr>
          <w:rFonts w:hint="eastAsia" w:cs="Times New Roman"/>
          <w:sz w:val="24"/>
          <w:szCs w:val="24"/>
          <w:lang w:val="en-US" w:eastAsia="zh-CN"/>
        </w:rPr>
        <w:t>本校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刘臻</w:t>
      </w:r>
      <w:r>
        <w:rPr>
          <w:rFonts w:hint="default" w:ascii="Times New Roman" w:hAnsi="Times New Roman" w:cs="Times New Roman"/>
          <w:sz w:val="24"/>
          <w:szCs w:val="24"/>
        </w:rPr>
        <w:t>（第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>完成人）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唐建洲（第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完成人）、曹申平（第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完成人）、</w:t>
      </w:r>
      <w:r>
        <w:rPr>
          <w:rFonts w:hint="eastAsia" w:cs="Times New Roman"/>
          <w:sz w:val="24"/>
          <w:szCs w:val="24"/>
          <w:lang w:val="en-US" w:eastAsia="zh-CN"/>
        </w:rPr>
        <w:t>周勇华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（第</w:t>
      </w:r>
      <w:r>
        <w:rPr>
          <w:rFonts w:hint="eastAsia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完成人）</w:t>
      </w:r>
      <w:r>
        <w:rPr>
          <w:rFonts w:hint="default" w:ascii="Times New Roman" w:hAnsi="Times New Roman" w:cs="Times New Roman"/>
          <w:sz w:val="24"/>
          <w:szCs w:val="24"/>
        </w:rPr>
        <w:t>长期合作，共同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开展了</w:t>
      </w:r>
      <w:r>
        <w:rPr>
          <w:rFonts w:hint="eastAsia"/>
          <w:color w:val="auto"/>
          <w:sz w:val="24"/>
          <w:szCs w:val="24"/>
          <w:lang w:val="en-US" w:eastAsia="zh-CN"/>
        </w:rPr>
        <w:t>淡水养殖动物抗细菌感染的先天免疫应答与稳态调控机制研究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，合作</w:t>
      </w:r>
      <w:r>
        <w:rPr>
          <w:rFonts w:hint="default" w:ascii="Times New Roman" w:hAnsi="Times New Roman" w:cs="Times New Roman"/>
          <w:sz w:val="24"/>
          <w:szCs w:val="24"/>
        </w:rPr>
        <w:t>发表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了本项目代表作</w:t>
      </w:r>
      <w:r>
        <w:rPr>
          <w:rFonts w:hint="eastAsia" w:cs="Times New Roman"/>
          <w:sz w:val="24"/>
          <w:szCs w:val="24"/>
          <w:lang w:val="en-US" w:eastAsia="zh-CN"/>
        </w:rPr>
        <w:t>1、5</w:t>
      </w:r>
      <w:r>
        <w:rPr>
          <w:rFonts w:hint="default" w:ascii="Times New Roman" w:hAnsi="Times New Roman" w:cs="Times New Roman"/>
          <w:sz w:val="24"/>
          <w:szCs w:val="24"/>
        </w:rPr>
        <w:t>：</w:t>
      </w:r>
      <w:r>
        <w:rPr>
          <w:rFonts w:hint="eastAsia" w:eastAsiaTheme="minorEastAsia"/>
          <w:bCs/>
          <w:color w:val="auto"/>
          <w:sz w:val="24"/>
          <w:szCs w:val="24"/>
        </w:rPr>
        <w:t>[</w:t>
      </w:r>
      <w:r>
        <w:rPr>
          <w:rFonts w:hint="eastAsia" w:eastAsiaTheme="minorEastAsia"/>
          <w:bCs/>
          <w:color w:val="auto"/>
          <w:sz w:val="24"/>
          <w:szCs w:val="24"/>
          <w:lang w:val="en-US" w:eastAsia="zh-CN"/>
        </w:rPr>
        <w:t>1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] Effects of </w:t>
      </w:r>
      <w:r>
        <w:rPr>
          <w:rFonts w:hint="eastAsia" w:eastAsiaTheme="minorEastAsia"/>
          <w:bCs/>
          <w:i/>
          <w:iCs/>
          <w:color w:val="auto"/>
          <w:sz w:val="24"/>
          <w:szCs w:val="24"/>
        </w:rPr>
        <w:t xml:space="preserve">Aeromonas </w:t>
      </w:r>
      <w:r>
        <w:rPr>
          <w:rFonts w:hint="eastAsia" w:eastAsiaTheme="minorEastAsia"/>
          <w:bCs/>
          <w:color w:val="auto"/>
          <w:sz w:val="24"/>
          <w:szCs w:val="24"/>
        </w:rPr>
        <w:t>infection on the immune system, physical barriers and microflora structure in the intestine of juvenile grass carp (</w:t>
      </w:r>
      <w:r>
        <w:rPr>
          <w:rFonts w:hint="eastAsia" w:eastAsiaTheme="minorEastAsia"/>
          <w:bCs/>
          <w:i/>
          <w:iCs/>
          <w:color w:val="auto"/>
          <w:sz w:val="24"/>
          <w:szCs w:val="24"/>
        </w:rPr>
        <w:t>Ctenopharyngodon idella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). </w:t>
      </w:r>
      <w:r>
        <w:rPr>
          <w:rFonts w:hint="eastAsia" w:eastAsiaTheme="minorEastAsia"/>
          <w:bCs/>
          <w:sz w:val="24"/>
          <w:szCs w:val="24"/>
        </w:rPr>
        <w:t xml:space="preserve">/ 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Fish &amp; Shellfish Immunology, 2024, 153: 109790. </w:t>
      </w:r>
      <w:r>
        <w:rPr>
          <w:rFonts w:hint="eastAsia" w:eastAsiaTheme="minorEastAsia"/>
          <w:bCs/>
          <w:sz w:val="24"/>
          <w:szCs w:val="24"/>
        </w:rPr>
        <w:t xml:space="preserve">/ </w:t>
      </w:r>
      <w:r>
        <w:rPr>
          <w:rFonts w:hint="eastAsia" w:eastAsiaTheme="minorEastAsia"/>
          <w:bCs/>
          <w:color w:val="auto"/>
          <w:sz w:val="24"/>
          <w:szCs w:val="24"/>
        </w:rPr>
        <w:t>Meixing Guo, Ran Peng, Kelan Jin, Xia Zhang, Huilan Mo, Xiang Li, Fufa Qu*, Jianzhou Tang, Shenping Cao, Yonghua Zhou, Zhimin He, Zhuangwen Mao, Junde Fan, Jianzhong Li, Zhen Liu*.</w:t>
      </w:r>
      <w:r>
        <w:rPr>
          <w:rFonts w:hint="eastAsia" w:eastAsiaTheme="minorEastAsia"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eastAsiaTheme="minorEastAsia"/>
          <w:bCs/>
          <w:color w:val="auto"/>
          <w:sz w:val="24"/>
          <w:szCs w:val="24"/>
        </w:rPr>
        <w:t>[</w:t>
      </w:r>
      <w:r>
        <w:rPr>
          <w:rFonts w:hint="eastAsia" w:eastAsiaTheme="minorEastAsia"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] p38 mitogen-activated protein kinases (MAPKs) are involved in intestinal immune response to bacterial muramyl dipeptide challenge in </w:t>
      </w:r>
      <w:r>
        <w:rPr>
          <w:rFonts w:hint="eastAsia" w:eastAsiaTheme="minorEastAsia"/>
          <w:bCs/>
          <w:i/>
          <w:iCs/>
          <w:color w:val="auto"/>
          <w:sz w:val="24"/>
          <w:szCs w:val="24"/>
        </w:rPr>
        <w:t>Ctenopharyngodon idella</w:t>
      </w:r>
      <w:r>
        <w:rPr>
          <w:rFonts w:hint="eastAsia" w:eastAsiaTheme="minorEastAsia"/>
          <w:bCs/>
          <w:color w:val="auto"/>
          <w:sz w:val="24"/>
          <w:szCs w:val="24"/>
        </w:rPr>
        <w:t>.</w:t>
      </w:r>
      <w:r>
        <w:rPr>
          <w:rFonts w:hint="eastAsia" w:eastAsiaTheme="minorEastAsia"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eastAsiaTheme="minorEastAsia"/>
          <w:bCs/>
          <w:sz w:val="24"/>
          <w:szCs w:val="24"/>
        </w:rPr>
        <w:t xml:space="preserve">/ 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Molecular Immunology, 2020, 118: 79-90. </w:t>
      </w:r>
      <w:r>
        <w:rPr>
          <w:rFonts w:hint="eastAsia" w:eastAsiaTheme="minorEastAsia"/>
          <w:bCs/>
          <w:sz w:val="24"/>
          <w:szCs w:val="24"/>
        </w:rPr>
        <w:t>/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 Yuandong Sun, Wenqian Xu, Die Li, Hui Zhou, Fufa Qu*, Shenping Cao, Jianzhou Tang, Yonghua Zhou, Zhimin He, Hang Li, Zhigang Zhou, Zhen Liu*.</w:t>
      </w:r>
      <w:r>
        <w:rPr>
          <w:rFonts w:hint="default" w:ascii="Times New Roman" w:hAnsi="Times New Roman" w:cs="Times New Roman" w:eastAsiaTheme="minorEastAsia"/>
          <w:bCs/>
          <w:color w:val="auto"/>
          <w:sz w:val="24"/>
          <w:szCs w:val="24"/>
        </w:rPr>
        <w:t xml:space="preserve"> </w:t>
      </w:r>
    </w:p>
    <w:p w14:paraId="4BD0D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20</w:t>
      </w:r>
      <w:r>
        <w:rPr>
          <w:rFonts w:hint="eastAsia" w:cs="Times New Roman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01-</w:t>
      </w:r>
      <w:r>
        <w:rPr>
          <w:rFonts w:hint="default" w:ascii="Times New Roman" w:hAnsi="Times New Roman" w:cs="Times New Roman"/>
          <w:sz w:val="24"/>
          <w:szCs w:val="24"/>
        </w:rPr>
        <w:t>20</w:t>
      </w:r>
      <w:r>
        <w:rPr>
          <w:rFonts w:hint="eastAsia" w:cs="Times New Roman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cs="Times New Roman"/>
          <w:sz w:val="24"/>
          <w:szCs w:val="24"/>
        </w:rPr>
        <w:t>，长沙学院瞿符发（第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</w:rPr>
        <w:t>完成人）和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湖南科技大学孙远东</w:t>
      </w:r>
      <w:r>
        <w:rPr>
          <w:rFonts w:hint="default" w:ascii="Times New Roman" w:hAnsi="Times New Roman" w:cs="Times New Roman"/>
          <w:sz w:val="24"/>
          <w:szCs w:val="24"/>
        </w:rPr>
        <w:t>（第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完成人）长期合作，共同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开展了</w:t>
      </w:r>
      <w:r>
        <w:rPr>
          <w:rFonts w:hint="eastAsia"/>
          <w:color w:val="auto"/>
          <w:sz w:val="24"/>
          <w:szCs w:val="24"/>
          <w:lang w:val="en-US" w:eastAsia="zh-CN"/>
        </w:rPr>
        <w:t>淡水养殖动物抗细菌感染的先天免疫应答与稳态调控机制研究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，合作</w:t>
      </w:r>
      <w:r>
        <w:rPr>
          <w:rFonts w:hint="default" w:ascii="Times New Roman" w:hAnsi="Times New Roman" w:cs="Times New Roman"/>
          <w:sz w:val="24"/>
          <w:szCs w:val="24"/>
        </w:rPr>
        <w:t>发表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了本项目代表作</w:t>
      </w:r>
      <w:r>
        <w:rPr>
          <w:rFonts w:hint="eastAsia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>：</w:t>
      </w:r>
      <w:r>
        <w:rPr>
          <w:rFonts w:hint="eastAsia" w:eastAsiaTheme="minorEastAsia"/>
          <w:bCs/>
          <w:color w:val="auto"/>
          <w:sz w:val="24"/>
          <w:szCs w:val="24"/>
        </w:rPr>
        <w:t>[</w:t>
      </w:r>
      <w:r>
        <w:rPr>
          <w:rFonts w:hint="eastAsia" w:eastAsiaTheme="minorEastAsia"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] p38 mitogen-activated protein kinases (MAPKs) are involved in intestinal immune response to bacterial muramyl dipeptide challenge in </w:t>
      </w:r>
      <w:r>
        <w:rPr>
          <w:rFonts w:hint="eastAsia" w:eastAsiaTheme="minorEastAsia"/>
          <w:bCs/>
          <w:i/>
          <w:iCs/>
          <w:color w:val="auto"/>
          <w:sz w:val="24"/>
          <w:szCs w:val="24"/>
        </w:rPr>
        <w:t>Ctenopharyngodon idella</w:t>
      </w:r>
      <w:r>
        <w:rPr>
          <w:rFonts w:hint="eastAsia" w:eastAsiaTheme="minorEastAsia"/>
          <w:bCs/>
          <w:color w:val="auto"/>
          <w:sz w:val="24"/>
          <w:szCs w:val="24"/>
        </w:rPr>
        <w:t>.</w:t>
      </w:r>
      <w:r>
        <w:rPr>
          <w:rFonts w:hint="eastAsia" w:eastAsiaTheme="minorEastAsia"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eastAsiaTheme="minorEastAsia"/>
          <w:bCs/>
          <w:sz w:val="24"/>
          <w:szCs w:val="24"/>
        </w:rPr>
        <w:t xml:space="preserve">/ 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Molecular Immunology, 2020, 118: 79-90. </w:t>
      </w:r>
      <w:r>
        <w:rPr>
          <w:rFonts w:hint="eastAsia" w:eastAsiaTheme="minorEastAsia"/>
          <w:bCs/>
          <w:sz w:val="24"/>
          <w:szCs w:val="24"/>
        </w:rPr>
        <w:t>/</w:t>
      </w:r>
      <w:r>
        <w:rPr>
          <w:rFonts w:hint="eastAsia" w:eastAsiaTheme="minorEastAsia"/>
          <w:bCs/>
          <w:color w:val="auto"/>
          <w:sz w:val="24"/>
          <w:szCs w:val="24"/>
        </w:rPr>
        <w:t xml:space="preserve"> Yuandong Sun, Wenqian Xu, Die Li, Hui Zhou, Fufa Qu*, Shenping Cao, Jianzhou Tang, Yonghua Zhou, Zhimin He, Hang Li, Zhigang Zhou, Zhen Liu*.</w:t>
      </w:r>
      <w:r>
        <w:rPr>
          <w:rFonts w:hint="default" w:ascii="Times New Roman" w:hAnsi="Times New Roman" w:cs="Times New Roman" w:eastAsiaTheme="minorEastAsia"/>
          <w:bCs/>
          <w:sz w:val="24"/>
          <w:szCs w:val="24"/>
        </w:rPr>
        <w:t xml:space="preserve"> </w:t>
      </w:r>
    </w:p>
    <w:p w14:paraId="15707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bCs/>
          <w:sz w:val="24"/>
          <w:szCs w:val="24"/>
        </w:rPr>
      </w:pPr>
    </w:p>
    <w:p w14:paraId="023C836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4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主要完成人合作关系情况汇总表</w:t>
      </w:r>
    </w:p>
    <w:tbl>
      <w:tblPr>
        <w:tblStyle w:val="5"/>
        <w:tblW w:w="89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122"/>
        <w:gridCol w:w="1344"/>
        <w:gridCol w:w="1256"/>
        <w:gridCol w:w="2711"/>
        <w:gridCol w:w="1156"/>
        <w:gridCol w:w="650"/>
      </w:tblGrid>
      <w:tr w14:paraId="1B9E9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19" w:type="dxa"/>
            <w:noWrap w:val="0"/>
            <w:vAlign w:val="center"/>
          </w:tcPr>
          <w:p w14:paraId="784291AE">
            <w:pPr>
              <w:spacing w:before="120" w:beforeLines="50" w:after="12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122" w:type="dxa"/>
            <w:noWrap w:val="0"/>
            <w:vAlign w:val="center"/>
          </w:tcPr>
          <w:p w14:paraId="1EED7DA0">
            <w:pPr>
              <w:spacing w:beforeLines="5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合作方式</w:t>
            </w:r>
          </w:p>
        </w:tc>
        <w:tc>
          <w:tcPr>
            <w:tcW w:w="1344" w:type="dxa"/>
            <w:noWrap w:val="0"/>
            <w:vAlign w:val="center"/>
          </w:tcPr>
          <w:p w14:paraId="1170126F">
            <w:pPr>
              <w:spacing w:beforeLines="5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合作者/排名</w:t>
            </w:r>
          </w:p>
        </w:tc>
        <w:tc>
          <w:tcPr>
            <w:tcW w:w="1256" w:type="dxa"/>
            <w:noWrap w:val="0"/>
            <w:vAlign w:val="center"/>
          </w:tcPr>
          <w:p w14:paraId="30AE358C">
            <w:pPr>
              <w:spacing w:beforeLines="5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合作时间</w:t>
            </w:r>
          </w:p>
        </w:tc>
        <w:tc>
          <w:tcPr>
            <w:tcW w:w="2711" w:type="dxa"/>
            <w:noWrap w:val="0"/>
            <w:vAlign w:val="center"/>
          </w:tcPr>
          <w:p w14:paraId="4022ECB9">
            <w:pPr>
              <w:spacing w:beforeLines="5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合作成果</w:t>
            </w:r>
          </w:p>
        </w:tc>
        <w:tc>
          <w:tcPr>
            <w:tcW w:w="1156" w:type="dxa"/>
            <w:noWrap w:val="0"/>
            <w:vAlign w:val="center"/>
          </w:tcPr>
          <w:p w14:paraId="1AD2E063">
            <w:pPr>
              <w:spacing w:beforeLines="5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证明材料</w:t>
            </w:r>
          </w:p>
        </w:tc>
        <w:tc>
          <w:tcPr>
            <w:tcW w:w="650" w:type="dxa"/>
            <w:noWrap w:val="0"/>
            <w:vAlign w:val="center"/>
          </w:tcPr>
          <w:p w14:paraId="329312C1">
            <w:pPr>
              <w:spacing w:beforeLines="5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38EB4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19" w:type="dxa"/>
            <w:noWrap w:val="0"/>
            <w:vAlign w:val="center"/>
          </w:tcPr>
          <w:p w14:paraId="334B3251">
            <w:pPr>
              <w:spacing w:before="120" w:beforeLines="50" w:after="120" w:afterLines="50"/>
              <w:jc w:val="center"/>
              <w:rPr>
                <w:rFonts w:hint="eastAsia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22" w:type="dxa"/>
            <w:noWrap w:val="0"/>
            <w:vAlign w:val="center"/>
          </w:tcPr>
          <w:p w14:paraId="7DE1B577">
            <w:pPr>
              <w:spacing w:beforeLines="5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论文合著</w:t>
            </w:r>
          </w:p>
        </w:tc>
        <w:tc>
          <w:tcPr>
            <w:tcW w:w="1344" w:type="dxa"/>
            <w:shd w:val="clear" w:color="auto" w:fill="auto"/>
            <w:noWrap w:val="0"/>
            <w:vAlign w:val="center"/>
          </w:tcPr>
          <w:p w14:paraId="6E734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瞿符发/7</w:t>
            </w:r>
          </w:p>
          <w:p w14:paraId="6F424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唐建洲/8</w:t>
            </w:r>
          </w:p>
          <w:p w14:paraId="4DD7F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曹申平/9</w:t>
            </w:r>
          </w:p>
          <w:p w14:paraId="2CD28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周勇华/10</w:t>
            </w:r>
          </w:p>
          <w:p w14:paraId="6ADA2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刘臻/15</w:t>
            </w:r>
          </w:p>
        </w:tc>
        <w:tc>
          <w:tcPr>
            <w:tcW w:w="1256" w:type="dxa"/>
            <w:noWrap w:val="0"/>
            <w:vAlign w:val="center"/>
          </w:tcPr>
          <w:p w14:paraId="16B39DDF">
            <w:pPr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2020.01</w:t>
            </w:r>
          </w:p>
          <w:p w14:paraId="43756576">
            <w:pPr>
              <w:jc w:val="center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至</w:t>
            </w:r>
            <w:bookmarkStart w:id="0" w:name="_GoBack"/>
            <w:bookmarkEnd w:id="0"/>
          </w:p>
          <w:p w14:paraId="4752DEDC">
            <w:pPr>
              <w:jc w:val="center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2024.10</w:t>
            </w:r>
          </w:p>
        </w:tc>
        <w:tc>
          <w:tcPr>
            <w:tcW w:w="2711" w:type="dxa"/>
            <w:noWrap w:val="0"/>
            <w:vAlign w:val="center"/>
          </w:tcPr>
          <w:p w14:paraId="3DCCA28D">
            <w:pPr>
              <w:spacing w:beforeLines="50" w:afterLines="50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 xml:space="preserve">Effects of </w:t>
            </w:r>
            <w:r>
              <w:rPr>
                <w:rFonts w:hint="default" w:ascii="Times New Roman" w:hAnsi="Times New Roman" w:cs="Times New Roman" w:eastAsiaTheme="minorEastAsia"/>
                <w:bCs/>
                <w:i/>
                <w:iCs/>
                <w:color w:val="auto"/>
                <w:sz w:val="21"/>
                <w:szCs w:val="21"/>
              </w:rPr>
              <w:t xml:space="preserve">Aeromonas 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infection on the immune system, physical barriers and microflora structure in the intestine of juvenile grass carp (</w:t>
            </w:r>
            <w:r>
              <w:rPr>
                <w:rFonts w:hint="default" w:ascii="Times New Roman" w:hAnsi="Times New Roman" w:cs="Times New Roman" w:eastAsiaTheme="minorEastAsia"/>
                <w:bCs/>
                <w:i/>
                <w:iCs/>
                <w:color w:val="auto"/>
                <w:sz w:val="21"/>
                <w:szCs w:val="21"/>
              </w:rPr>
              <w:t>Ctenopharyngodon idella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). Fish &amp; Shellfish Immunology, 2024, 153: 109790.</w:t>
            </w:r>
          </w:p>
        </w:tc>
        <w:tc>
          <w:tcPr>
            <w:tcW w:w="1156" w:type="dxa"/>
            <w:noWrap w:val="0"/>
            <w:vAlign w:val="center"/>
          </w:tcPr>
          <w:p w14:paraId="51B73AE0">
            <w:pPr>
              <w:jc w:val="center"/>
              <w:rPr>
                <w:rFonts w:hint="eastAsia" w:cs="Times New Roman"/>
                <w:szCs w:val="21"/>
                <w:lang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附件1</w:t>
            </w:r>
          </w:p>
          <w:p w14:paraId="2E12A8F8">
            <w:pPr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szCs w:val="21"/>
              </w:rPr>
              <w:t>代表作</w:t>
            </w:r>
            <w:r>
              <w:rPr>
                <w:rFonts w:hint="eastAsia" w:cs="Times New Roman"/>
                <w:szCs w:val="21"/>
                <w:lang w:val="en-US" w:eastAsia="zh-CN"/>
              </w:rPr>
              <w:t>1)</w:t>
            </w:r>
          </w:p>
          <w:p w14:paraId="74ED51B7">
            <w:pPr>
              <w:jc w:val="center"/>
              <w:rPr>
                <w:rFonts w:hint="default" w:cs="Times New Roman"/>
                <w:szCs w:val="21"/>
                <w:lang w:val="en-US" w:eastAsia="zh-CN"/>
              </w:rPr>
            </w:pPr>
          </w:p>
        </w:tc>
        <w:tc>
          <w:tcPr>
            <w:tcW w:w="650" w:type="dxa"/>
            <w:noWrap w:val="0"/>
            <w:vAlign w:val="top"/>
          </w:tcPr>
          <w:p w14:paraId="1EA87B73">
            <w:pPr>
              <w:spacing w:beforeLines="50" w:afterLines="50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105D9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19" w:type="dxa"/>
            <w:noWrap w:val="0"/>
            <w:vAlign w:val="center"/>
          </w:tcPr>
          <w:p w14:paraId="1F164112">
            <w:pPr>
              <w:spacing w:before="120" w:beforeLines="50" w:after="120" w:afterLines="50"/>
              <w:jc w:val="center"/>
              <w:rPr>
                <w:rFonts w:hint="eastAsia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22" w:type="dxa"/>
            <w:shd w:val="clear" w:color="auto" w:fill="auto"/>
            <w:noWrap w:val="0"/>
            <w:vAlign w:val="center"/>
          </w:tcPr>
          <w:p w14:paraId="084BD19C">
            <w:pPr>
              <w:spacing w:beforeLines="50" w:afterLines="5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论文合著</w:t>
            </w:r>
          </w:p>
        </w:tc>
        <w:tc>
          <w:tcPr>
            <w:tcW w:w="1344" w:type="dxa"/>
            <w:noWrap w:val="0"/>
            <w:vAlign w:val="center"/>
          </w:tcPr>
          <w:p w14:paraId="75AF9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孙远东/1</w:t>
            </w:r>
          </w:p>
          <w:p w14:paraId="0CAD7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瞿符发/5</w:t>
            </w:r>
          </w:p>
          <w:p w14:paraId="3F417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曹申平/6</w:t>
            </w:r>
          </w:p>
          <w:p w14:paraId="74C55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唐建洲/7</w:t>
            </w:r>
          </w:p>
          <w:p w14:paraId="6195A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周勇华/8</w:t>
            </w:r>
          </w:p>
          <w:p w14:paraId="65DEB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afterLines="5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>刘臻/12</w:t>
            </w:r>
          </w:p>
        </w:tc>
        <w:tc>
          <w:tcPr>
            <w:tcW w:w="1256" w:type="dxa"/>
            <w:noWrap w:val="0"/>
            <w:vAlign w:val="center"/>
          </w:tcPr>
          <w:p w14:paraId="59A43F87">
            <w:pPr>
              <w:jc w:val="center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2017.01</w:t>
            </w:r>
          </w:p>
          <w:p w14:paraId="21735AD7">
            <w:pPr>
              <w:jc w:val="center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至</w:t>
            </w:r>
          </w:p>
          <w:p w14:paraId="2121FD0B">
            <w:pPr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2020.02</w:t>
            </w:r>
          </w:p>
        </w:tc>
        <w:tc>
          <w:tcPr>
            <w:tcW w:w="2711" w:type="dxa"/>
            <w:noWrap w:val="0"/>
            <w:vAlign w:val="center"/>
          </w:tcPr>
          <w:p w14:paraId="13A65114">
            <w:pPr>
              <w:spacing w:beforeLines="50" w:afterLines="50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 xml:space="preserve">p38 mitogen-activated protein kinases (MAPKs) are involved in intestinal immune response to bacterial muramyl dipeptide challenge in </w:t>
            </w:r>
            <w:r>
              <w:rPr>
                <w:rFonts w:hint="default" w:ascii="Times New Roman" w:hAnsi="Times New Roman" w:cs="Times New Roman" w:eastAsiaTheme="minorEastAsia"/>
                <w:bCs/>
                <w:i/>
                <w:iCs/>
                <w:color w:val="auto"/>
                <w:sz w:val="21"/>
                <w:szCs w:val="21"/>
              </w:rPr>
              <w:t>Ctenopharyngodon idella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z w:val="21"/>
                <w:szCs w:val="21"/>
              </w:rPr>
              <w:t>Molecular Immunology, 2020, 118: 79-90</w:t>
            </w:r>
          </w:p>
        </w:tc>
        <w:tc>
          <w:tcPr>
            <w:tcW w:w="1156" w:type="dxa"/>
            <w:shd w:val="clear" w:color="auto" w:fill="auto"/>
            <w:noWrap w:val="0"/>
            <w:vAlign w:val="center"/>
          </w:tcPr>
          <w:p w14:paraId="0C59664D">
            <w:pPr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附件5</w:t>
            </w:r>
          </w:p>
          <w:p w14:paraId="0E64DF4A">
            <w:pPr>
              <w:jc w:val="center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(</w:t>
            </w:r>
            <w:r>
              <w:rPr>
                <w:rFonts w:hint="default" w:cs="Times New Roman"/>
                <w:szCs w:val="21"/>
                <w:lang w:val="en-US" w:eastAsia="zh-CN"/>
              </w:rPr>
              <w:t>代表作5</w:t>
            </w:r>
            <w:r>
              <w:rPr>
                <w:rFonts w:hint="eastAsia" w:cs="Times New Roman"/>
                <w:szCs w:val="21"/>
                <w:lang w:val="en-US" w:eastAsia="zh-CN"/>
              </w:rPr>
              <w:t>)</w:t>
            </w:r>
          </w:p>
        </w:tc>
        <w:tc>
          <w:tcPr>
            <w:tcW w:w="650" w:type="dxa"/>
            <w:noWrap w:val="0"/>
            <w:vAlign w:val="top"/>
          </w:tcPr>
          <w:p w14:paraId="1A88F6BE">
            <w:pPr>
              <w:spacing w:beforeLines="50" w:afterLines="50"/>
              <w:rPr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10A7C1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4C"/>
    <w:rsid w:val="001E1B4C"/>
    <w:rsid w:val="003F26E4"/>
    <w:rsid w:val="00567A37"/>
    <w:rsid w:val="00617E3A"/>
    <w:rsid w:val="007C0F39"/>
    <w:rsid w:val="007E12D6"/>
    <w:rsid w:val="02CC40B5"/>
    <w:rsid w:val="06A25B4C"/>
    <w:rsid w:val="0FFF56D6"/>
    <w:rsid w:val="103764A9"/>
    <w:rsid w:val="112C519B"/>
    <w:rsid w:val="1191235E"/>
    <w:rsid w:val="123A47A4"/>
    <w:rsid w:val="1B6A60FA"/>
    <w:rsid w:val="1BFA0D8A"/>
    <w:rsid w:val="3364747B"/>
    <w:rsid w:val="36056CF3"/>
    <w:rsid w:val="366F6862"/>
    <w:rsid w:val="398E6FFF"/>
    <w:rsid w:val="39F90D9D"/>
    <w:rsid w:val="3CD92C87"/>
    <w:rsid w:val="3FD61700"/>
    <w:rsid w:val="41140732"/>
    <w:rsid w:val="443539A9"/>
    <w:rsid w:val="46B8390E"/>
    <w:rsid w:val="472275AF"/>
    <w:rsid w:val="495B7C73"/>
    <w:rsid w:val="4B920BD1"/>
    <w:rsid w:val="558275C0"/>
    <w:rsid w:val="5728063B"/>
    <w:rsid w:val="573C5E95"/>
    <w:rsid w:val="57AC3927"/>
    <w:rsid w:val="5814296E"/>
    <w:rsid w:val="58823D7B"/>
    <w:rsid w:val="5D471D6D"/>
    <w:rsid w:val="5E967F0B"/>
    <w:rsid w:val="6256482B"/>
    <w:rsid w:val="639C3F43"/>
    <w:rsid w:val="64A56F91"/>
    <w:rsid w:val="66843327"/>
    <w:rsid w:val="6BBD539F"/>
    <w:rsid w:val="6BDD159D"/>
    <w:rsid w:val="74A92964"/>
    <w:rsid w:val="779C40BA"/>
    <w:rsid w:val="793E2CBC"/>
    <w:rsid w:val="7C1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semiHidden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532</Words>
  <Characters>1209</Characters>
  <Lines>125</Lines>
  <Paragraphs>71</Paragraphs>
  <TotalTime>74</TotalTime>
  <ScaleCrop>false</ScaleCrop>
  <LinksUpToDate>false</LinksUpToDate>
  <CharactersWithSpaces>1349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2025-08-18T08:57:00Z</dcterms:created>
  <dc:creator>Administrator</dc:creator>
  <cp:lastModifiedBy>瞿</cp:lastModifiedBy>
  <cp:lastPrinted>2026-10-20T12:12:00Z</cp:lastPrinted>
  <dcterms:modified xsi:type="dcterms:W3CDTF">2026-10-22T23:14:44Z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eyJoZGlkIjoiOTM0ZWRkNjdjMGU4OGM0NjEwYThkMDhlMDc1Y2NlYzciLCJ1c2VySWQiOiI0MzQyMTQ5NDQifQ==</vt:lpwstr>
  </property>
  <property fmtid="{D5CDD505-2E9C-101B-9397-08002B2CF9AE}" pid="4" name="ICV">
    <vt:lpwstr>CC560D89BE364FCC86DDED18D6EB3D20_12</vt:lpwstr>
  </property>
</Properties>
</file>