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1392" w14:textId="77777777" w:rsidR="00CD193D" w:rsidRDefault="00CD193D">
      <w:pPr>
        <w:jc w:val="center"/>
        <w:rPr>
          <w:b/>
          <w:bCs/>
          <w:sz w:val="24"/>
          <w:szCs w:val="24"/>
        </w:rPr>
      </w:pPr>
    </w:p>
    <w:p w14:paraId="1FC8942B" w14:textId="77777777" w:rsidR="00CD193D" w:rsidRDefault="00000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湖南省自然科学奖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6CE8FE13" w14:textId="77777777" w:rsidR="00CD193D" w:rsidRDefault="00000000">
      <w:pPr>
        <w:spacing w:line="56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</w:rPr>
        <w:t>界面调控策略对高性能</w:t>
      </w:r>
      <w:proofErr w:type="gramStart"/>
      <w:r>
        <w:rPr>
          <w:rFonts w:hint="eastAsia"/>
          <w:sz w:val="28"/>
          <w:szCs w:val="28"/>
        </w:rPr>
        <w:t>锌</w:t>
      </w:r>
      <w:proofErr w:type="gramEnd"/>
      <w:r>
        <w:rPr>
          <w:rFonts w:hint="eastAsia"/>
          <w:sz w:val="28"/>
          <w:szCs w:val="28"/>
        </w:rPr>
        <w:t>离子电池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电容</w:t>
      </w:r>
      <w:proofErr w:type="gramStart"/>
      <w:r>
        <w:rPr>
          <w:rFonts w:hint="eastAsia"/>
          <w:sz w:val="28"/>
          <w:szCs w:val="28"/>
        </w:rPr>
        <w:t>的构效关系</w:t>
      </w:r>
      <w:proofErr w:type="gramEnd"/>
      <w:r>
        <w:rPr>
          <w:rFonts w:hint="eastAsia"/>
          <w:sz w:val="28"/>
          <w:szCs w:val="28"/>
        </w:rPr>
        <w:t>研究</w:t>
      </w:r>
    </w:p>
    <w:p w14:paraId="4168118B" w14:textId="77777777" w:rsidR="00CD193D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</w:t>
      </w:r>
      <w:r>
        <w:rPr>
          <w:rFonts w:hint="eastAsia"/>
          <w:b/>
          <w:bCs/>
          <w:sz w:val="28"/>
          <w:szCs w:val="28"/>
        </w:rPr>
        <w:t>单位</w:t>
      </w:r>
      <w:r>
        <w:rPr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中南大学</w:t>
      </w:r>
    </w:p>
    <w:p w14:paraId="5075D80A" w14:textId="77777777" w:rsidR="00CD193D" w:rsidRDefault="00000000">
      <w:pPr>
        <w:spacing w:line="560" w:lineRule="exact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提名等级：二等奖</w:t>
      </w:r>
    </w:p>
    <w:p w14:paraId="53EDC99A" w14:textId="77777777" w:rsidR="00CD193D" w:rsidRDefault="00000000">
      <w:pPr>
        <w:spacing w:line="560" w:lineRule="exact"/>
        <w:rPr>
          <w:color w:val="FF000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四、代表作（含论文、专著）目录</w:t>
      </w:r>
    </w:p>
    <w:tbl>
      <w:tblPr>
        <w:tblW w:w="10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610"/>
        <w:gridCol w:w="715"/>
        <w:gridCol w:w="740"/>
        <w:gridCol w:w="867"/>
        <w:gridCol w:w="915"/>
        <w:gridCol w:w="805"/>
        <w:gridCol w:w="1498"/>
        <w:gridCol w:w="735"/>
        <w:gridCol w:w="766"/>
        <w:gridCol w:w="1174"/>
      </w:tblGrid>
      <w:tr w:rsidR="00CD193D" w14:paraId="0AE0188D" w14:textId="77777777" w:rsidTr="003F5509">
        <w:trPr>
          <w:trHeight w:val="1361"/>
          <w:jc w:val="center"/>
        </w:trPr>
        <w:tc>
          <w:tcPr>
            <w:tcW w:w="575" w:type="dxa"/>
            <w:vAlign w:val="center"/>
          </w:tcPr>
          <w:p w14:paraId="645C0E35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610" w:type="dxa"/>
            <w:vAlign w:val="center"/>
          </w:tcPr>
          <w:p w14:paraId="3A99EB5C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代表作</w:t>
            </w:r>
            <w:r>
              <w:rPr>
                <w:rFonts w:ascii="Times New Roman"/>
                <w:sz w:val="21"/>
                <w:szCs w:val="28"/>
              </w:rPr>
              <w:t>名称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刊名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作者</w:t>
            </w:r>
          </w:p>
        </w:tc>
        <w:tc>
          <w:tcPr>
            <w:tcW w:w="715" w:type="dxa"/>
            <w:vAlign w:val="center"/>
          </w:tcPr>
          <w:p w14:paraId="3DE6F5AC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年卷页码</w:t>
            </w:r>
          </w:p>
          <w:p w14:paraId="606BABBD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年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卷</w:t>
            </w:r>
          </w:p>
          <w:p w14:paraId="1DA84CDA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页）</w:t>
            </w:r>
          </w:p>
        </w:tc>
        <w:tc>
          <w:tcPr>
            <w:tcW w:w="740" w:type="dxa"/>
            <w:vAlign w:val="center"/>
          </w:tcPr>
          <w:p w14:paraId="5C98FCD8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发表时间</w:t>
            </w:r>
            <w:r>
              <w:rPr>
                <w:rFonts w:ascii="Times New Roman" w:eastAsia="黑体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年月</w:t>
            </w:r>
            <w:r>
              <w:rPr>
                <w:rFonts w:ascii="Times New Roman"/>
                <w:sz w:val="21"/>
                <w:szCs w:val="28"/>
              </w:rPr>
              <w:t xml:space="preserve"> </w:t>
            </w:r>
            <w:r>
              <w:rPr>
                <w:rFonts w:ascii="Times New Roman"/>
                <w:sz w:val="21"/>
                <w:szCs w:val="28"/>
              </w:rPr>
              <w:t>日）</w:t>
            </w:r>
          </w:p>
        </w:tc>
        <w:tc>
          <w:tcPr>
            <w:tcW w:w="867" w:type="dxa"/>
            <w:vAlign w:val="center"/>
          </w:tcPr>
          <w:p w14:paraId="7428C667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通讯作者（含共同）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915" w:type="dxa"/>
            <w:vAlign w:val="center"/>
          </w:tcPr>
          <w:p w14:paraId="5B5058C0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第一作者（含共同）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805" w:type="dxa"/>
            <w:vAlign w:val="center"/>
          </w:tcPr>
          <w:p w14:paraId="346996FE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论文第一署名单位（或专著第一、第二作者工作单位）</w:t>
            </w:r>
          </w:p>
        </w:tc>
        <w:tc>
          <w:tcPr>
            <w:tcW w:w="1498" w:type="dxa"/>
            <w:vAlign w:val="center"/>
          </w:tcPr>
          <w:p w14:paraId="51D24E90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列入</w:t>
            </w:r>
            <w:r>
              <w:rPr>
                <w:rFonts w:ascii="Times New Roman" w:hint="eastAsia"/>
                <w:spacing w:val="2"/>
                <w:szCs w:val="22"/>
              </w:rPr>
              <w:t>项目</w:t>
            </w:r>
            <w:r>
              <w:rPr>
                <w:rFonts w:ascii="Times New Roman" w:hint="eastAsia"/>
                <w:sz w:val="21"/>
                <w:szCs w:val="28"/>
              </w:rPr>
              <w:t>主要完成人的</w:t>
            </w:r>
            <w:r>
              <w:rPr>
                <w:rFonts w:ascii="Times New Roman"/>
                <w:sz w:val="21"/>
                <w:szCs w:val="28"/>
              </w:rPr>
              <w:t>作者</w:t>
            </w:r>
            <w:r>
              <w:rPr>
                <w:rFonts w:ascii="Times New Roman"/>
                <w:sz w:val="21"/>
                <w:szCs w:val="22"/>
              </w:rPr>
              <w:t>（排序）</w:t>
            </w:r>
          </w:p>
        </w:tc>
        <w:tc>
          <w:tcPr>
            <w:tcW w:w="735" w:type="dxa"/>
            <w:vAlign w:val="center"/>
          </w:tcPr>
          <w:p w14:paraId="0C1CBE50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proofErr w:type="gramStart"/>
            <w:r>
              <w:rPr>
                <w:rFonts w:ascii="Times New Roman"/>
                <w:sz w:val="21"/>
                <w:szCs w:val="28"/>
              </w:rPr>
              <w:t>他引总次数</w:t>
            </w:r>
            <w:proofErr w:type="gramEnd"/>
          </w:p>
        </w:tc>
        <w:tc>
          <w:tcPr>
            <w:tcW w:w="766" w:type="dxa"/>
            <w:vAlign w:val="center"/>
          </w:tcPr>
          <w:p w14:paraId="45BDA7ED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检索数据库</w:t>
            </w:r>
          </w:p>
        </w:tc>
        <w:tc>
          <w:tcPr>
            <w:tcW w:w="1174" w:type="dxa"/>
            <w:vAlign w:val="center"/>
          </w:tcPr>
          <w:p w14:paraId="17E01707" w14:textId="77777777" w:rsidR="00CD193D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是否国内</w:t>
            </w:r>
            <w:r>
              <w:rPr>
                <w:rFonts w:ascii="Times New Roman" w:hint="eastAsia"/>
                <w:sz w:val="21"/>
                <w:szCs w:val="28"/>
              </w:rPr>
              <w:t>期刊发表的论文（国内出版的专著）</w:t>
            </w:r>
          </w:p>
        </w:tc>
      </w:tr>
      <w:tr w:rsidR="00CD193D" w14:paraId="07BB7DB7" w14:textId="77777777" w:rsidTr="003F5509">
        <w:trPr>
          <w:trHeight w:val="1069"/>
          <w:jc w:val="center"/>
        </w:trPr>
        <w:tc>
          <w:tcPr>
            <w:tcW w:w="575" w:type="dxa"/>
            <w:vAlign w:val="center"/>
          </w:tcPr>
          <w:p w14:paraId="521A84C1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1</w:t>
            </w:r>
          </w:p>
        </w:tc>
        <w:tc>
          <w:tcPr>
            <w:tcW w:w="1610" w:type="dxa"/>
            <w:vAlign w:val="center"/>
          </w:tcPr>
          <w:p w14:paraId="5E63CE68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Mesoporous hollow carbon spheres boosted, integrated high performance </w:t>
            </w:r>
          </w:p>
          <w:p w14:paraId="35F25402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aqueous Zn-Ion energy storage/</w:t>
            </w:r>
            <w:bookmarkStart w:id="0" w:name="_Hlk243234049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Energy Storage Materials</w:t>
            </w:r>
            <w:bookmarkEnd w:id="0"/>
          </w:p>
          <w:p w14:paraId="2C8D9D9B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Penggao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Liu, Weifang Liu, Yanping Huang,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Puliang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Li, Jun Yan </w:t>
            </w:r>
            <w:r>
              <w:rPr>
                <w:rFonts w:ascii="宋体" w:hAnsi="宋体" w:cs="宋体" w:hint="eastAsia"/>
                <w:color w:val="0D7FAC"/>
                <w:kern w:val="0"/>
                <w:szCs w:val="21"/>
                <w:lang w:bidi="ar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, Kaiyu Liu**</w:t>
            </w:r>
          </w:p>
        </w:tc>
        <w:tc>
          <w:tcPr>
            <w:tcW w:w="715" w:type="dxa"/>
            <w:vAlign w:val="center"/>
          </w:tcPr>
          <w:p w14:paraId="4FE404B8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2020年25卷858–865页</w:t>
            </w:r>
          </w:p>
          <w:p w14:paraId="7995F6A2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0923A55B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2019年9月9日</w:t>
            </w:r>
          </w:p>
        </w:tc>
        <w:tc>
          <w:tcPr>
            <w:tcW w:w="867" w:type="dxa"/>
            <w:vAlign w:val="center"/>
          </w:tcPr>
          <w:p w14:paraId="378B5B51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颜军（中南大学）刘开宇（中南大学）</w:t>
            </w:r>
          </w:p>
        </w:tc>
        <w:tc>
          <w:tcPr>
            <w:tcW w:w="915" w:type="dxa"/>
            <w:vAlign w:val="center"/>
          </w:tcPr>
          <w:p w14:paraId="783B024C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刘鹏高（中南大学，新疆大学）</w:t>
            </w:r>
          </w:p>
        </w:tc>
        <w:tc>
          <w:tcPr>
            <w:tcW w:w="805" w:type="dxa"/>
            <w:vAlign w:val="center"/>
          </w:tcPr>
          <w:p w14:paraId="6C9C2A77" w14:textId="77777777" w:rsidR="00001D9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中南</w:t>
            </w:r>
          </w:p>
          <w:p w14:paraId="0AD40F94" w14:textId="16E865F5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大学</w:t>
            </w:r>
          </w:p>
        </w:tc>
        <w:tc>
          <w:tcPr>
            <w:tcW w:w="1498" w:type="dxa"/>
            <w:vAlign w:val="center"/>
          </w:tcPr>
          <w:p w14:paraId="04557215" w14:textId="77777777" w:rsidR="003F5509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（1）</w:t>
            </w:r>
            <w:r>
              <w:rPr>
                <w:rFonts w:ascii="宋体" w:hAnsi="宋体" w:cs="宋体" w:hint="eastAsia"/>
                <w:sz w:val="21"/>
                <w:szCs w:val="21"/>
              </w:rPr>
              <w:t>,</w:t>
            </w:r>
          </w:p>
          <w:p w14:paraId="04665EE3" w14:textId="7B5EF121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刘维芳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（2）</w:t>
            </w:r>
            <w:r>
              <w:rPr>
                <w:rFonts w:ascii="宋体" w:hAnsi="宋体" w:cs="宋体" w:hint="eastAsia"/>
                <w:sz w:val="21"/>
                <w:szCs w:val="21"/>
              </w:rPr>
              <w:t>,颜军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（5），</w:t>
            </w:r>
            <w:r>
              <w:rPr>
                <w:rFonts w:ascii="宋体" w:hAnsi="宋体" w:cs="宋体" w:hint="eastAsia"/>
                <w:sz w:val="21"/>
                <w:szCs w:val="21"/>
              </w:rPr>
              <w:t xml:space="preserve">  刘开宇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（6）</w:t>
            </w:r>
          </w:p>
        </w:tc>
        <w:tc>
          <w:tcPr>
            <w:tcW w:w="735" w:type="dxa"/>
            <w:vAlign w:val="center"/>
          </w:tcPr>
          <w:p w14:paraId="6652CDD4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441</w:t>
            </w:r>
          </w:p>
        </w:tc>
        <w:tc>
          <w:tcPr>
            <w:tcW w:w="766" w:type="dxa"/>
            <w:vAlign w:val="center"/>
          </w:tcPr>
          <w:p w14:paraId="11AF3408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SCIE</w:t>
            </w:r>
          </w:p>
        </w:tc>
        <w:tc>
          <w:tcPr>
            <w:tcW w:w="1174" w:type="dxa"/>
            <w:vAlign w:val="center"/>
          </w:tcPr>
          <w:p w14:paraId="096BCD9C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否</w:t>
            </w:r>
          </w:p>
        </w:tc>
      </w:tr>
      <w:tr w:rsidR="00CD193D" w14:paraId="4FEA8019" w14:textId="77777777" w:rsidTr="003F5509">
        <w:trPr>
          <w:trHeight w:val="1069"/>
          <w:jc w:val="center"/>
        </w:trPr>
        <w:tc>
          <w:tcPr>
            <w:tcW w:w="575" w:type="dxa"/>
            <w:vAlign w:val="center"/>
          </w:tcPr>
          <w:p w14:paraId="3ED2971E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2</w:t>
            </w:r>
          </w:p>
        </w:tc>
        <w:tc>
          <w:tcPr>
            <w:tcW w:w="1610" w:type="dxa"/>
            <w:vAlign w:val="center"/>
          </w:tcPr>
          <w:p w14:paraId="2FFC383C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Ultra-highly stable zinc metal anode via 3D-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 xml:space="preserve">printed g-C3N4 modulating </w:t>
            </w:r>
          </w:p>
          <w:p w14:paraId="7A062392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interface for long life energy storage systems</w:t>
            </w:r>
          </w:p>
          <w:p w14:paraId="588F86B5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  <w:bookmarkStart w:id="1" w:name="_Hlk243234079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Chemical Engineering Journal</w:t>
            </w:r>
            <w:bookmarkEnd w:id="1"/>
          </w:p>
          <w:p w14:paraId="152FB289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Penggao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Liu</w:t>
            </w:r>
            <w:r>
              <w:rPr>
                <w:rFonts w:ascii="宋体" w:hAnsi="宋体" w:cs="宋体" w:hint="eastAsia"/>
                <w:color w:val="287CA5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Zeyi Zhang, Rui Hao, Yanping Huang, Weifang Liu,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Yangyang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Tan,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Puliang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Li, </w:t>
            </w:r>
          </w:p>
          <w:p w14:paraId="61E0F102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Jun Yan, Kaiyu Liu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⁎</w:t>
            </w:r>
          </w:p>
          <w:p w14:paraId="0D8ABF42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left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15" w:type="dxa"/>
            <w:vAlign w:val="center"/>
          </w:tcPr>
          <w:p w14:paraId="1ED7FF2D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lastRenderedPageBreak/>
              <w:t>2021年403卷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lastRenderedPageBreak/>
              <w:t>126425页</w:t>
            </w:r>
          </w:p>
          <w:p w14:paraId="5F651DAA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40" w:type="dxa"/>
            <w:vAlign w:val="center"/>
          </w:tcPr>
          <w:p w14:paraId="452FE510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lastRenderedPageBreak/>
              <w:t>2020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7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28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  <w:r>
              <w:rPr>
                <w:rFonts w:ascii="Times New Roman" w:hint="eastAsia"/>
                <w:sz w:val="21"/>
                <w:szCs w:val="28"/>
              </w:rPr>
              <w:lastRenderedPageBreak/>
              <w:t>(online)</w:t>
            </w:r>
          </w:p>
        </w:tc>
        <w:tc>
          <w:tcPr>
            <w:tcW w:w="867" w:type="dxa"/>
            <w:vAlign w:val="center"/>
          </w:tcPr>
          <w:p w14:paraId="59737CA4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lastRenderedPageBreak/>
              <w:t>刘开宇（中南大学）</w:t>
            </w:r>
          </w:p>
        </w:tc>
        <w:tc>
          <w:tcPr>
            <w:tcW w:w="915" w:type="dxa"/>
            <w:vAlign w:val="center"/>
          </w:tcPr>
          <w:p w14:paraId="3E8173A6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刘鹏高（中南大学，新疆大</w:t>
            </w:r>
            <w:r>
              <w:rPr>
                <w:rFonts w:ascii="宋体" w:hAnsi="宋体" w:cs="宋体" w:hint="eastAsia"/>
                <w:sz w:val="21"/>
                <w:szCs w:val="21"/>
              </w:rPr>
              <w:lastRenderedPageBreak/>
              <w:t>学）</w:t>
            </w:r>
          </w:p>
        </w:tc>
        <w:tc>
          <w:tcPr>
            <w:tcW w:w="805" w:type="dxa"/>
            <w:vAlign w:val="center"/>
          </w:tcPr>
          <w:p w14:paraId="073E7981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lastRenderedPageBreak/>
              <w:t>中南大学</w:t>
            </w:r>
          </w:p>
        </w:tc>
        <w:tc>
          <w:tcPr>
            <w:tcW w:w="1498" w:type="dxa"/>
            <w:vAlign w:val="center"/>
          </w:tcPr>
          <w:p w14:paraId="02C8074F" w14:textId="799ABC54" w:rsidR="00CD193D" w:rsidRDefault="00001D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刘鹏高（1）,刘维芳（5）,颜军（8），  刘开宇（9）</w:t>
            </w:r>
          </w:p>
        </w:tc>
        <w:tc>
          <w:tcPr>
            <w:tcW w:w="735" w:type="dxa"/>
            <w:vAlign w:val="center"/>
          </w:tcPr>
          <w:p w14:paraId="4ECD1314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193</w:t>
            </w:r>
          </w:p>
        </w:tc>
        <w:tc>
          <w:tcPr>
            <w:tcW w:w="766" w:type="dxa"/>
            <w:vAlign w:val="center"/>
          </w:tcPr>
          <w:p w14:paraId="2C61B4A5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SCIE</w:t>
            </w:r>
          </w:p>
        </w:tc>
        <w:tc>
          <w:tcPr>
            <w:tcW w:w="1174" w:type="dxa"/>
            <w:vAlign w:val="center"/>
          </w:tcPr>
          <w:p w14:paraId="3B5BE845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否</w:t>
            </w:r>
          </w:p>
        </w:tc>
      </w:tr>
      <w:tr w:rsidR="00CD193D" w14:paraId="21908548" w14:textId="77777777" w:rsidTr="003F5509">
        <w:trPr>
          <w:trHeight w:val="1069"/>
          <w:jc w:val="center"/>
        </w:trPr>
        <w:tc>
          <w:tcPr>
            <w:tcW w:w="575" w:type="dxa"/>
            <w:vAlign w:val="center"/>
          </w:tcPr>
          <w:p w14:paraId="72412189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3</w:t>
            </w:r>
          </w:p>
        </w:tc>
        <w:tc>
          <w:tcPr>
            <w:tcW w:w="1610" w:type="dxa"/>
            <w:vAlign w:val="center"/>
          </w:tcPr>
          <w:p w14:paraId="47B07889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 xml:space="preserve">Rational design of nitrogen doped hierarchical porous carbon for </w:t>
            </w:r>
          </w:p>
          <w:p w14:paraId="580CEBAC" w14:textId="77777777" w:rsidR="00CD193D" w:rsidRDefault="00000000">
            <w:pPr>
              <w:widowControl/>
              <w:spacing w:line="280" w:lineRule="exact"/>
              <w:jc w:val="left"/>
              <w:rPr>
                <w:szCs w:val="28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optimized zinc-ion hybrid supercapacitors/</w:t>
            </w:r>
            <w:bookmarkStart w:id="2" w:name="_Hlk243234102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Nano Research</w:t>
            </w:r>
            <w:bookmarkEnd w:id="2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/</w:t>
            </w:r>
            <w:proofErr w:type="spellStart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Penggao</w:t>
            </w:r>
            <w:proofErr w:type="spellEnd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 xml:space="preserve"> Liu, Yang Gao, </w:t>
            </w:r>
            <w:proofErr w:type="spellStart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Yangyang</w:t>
            </w:r>
            <w:proofErr w:type="spellEnd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 xml:space="preserve"> Tan, Weifang Liu, Yanping Huang, Jun Yan*, and Kaiyu Liu**</w:t>
            </w:r>
          </w:p>
        </w:tc>
        <w:tc>
          <w:tcPr>
            <w:tcW w:w="715" w:type="dxa"/>
            <w:vAlign w:val="center"/>
          </w:tcPr>
          <w:p w14:paraId="02B9FF67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2019年12卷2835–2841页</w:t>
            </w:r>
          </w:p>
          <w:p w14:paraId="3487C4B2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40" w:type="dxa"/>
            <w:vAlign w:val="center"/>
          </w:tcPr>
          <w:p w14:paraId="5791B5EF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2019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9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18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14:paraId="0BFD776E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颜军（中南大学），刘开宇（中南大学）</w:t>
            </w:r>
          </w:p>
        </w:tc>
        <w:tc>
          <w:tcPr>
            <w:tcW w:w="915" w:type="dxa"/>
            <w:vAlign w:val="center"/>
          </w:tcPr>
          <w:p w14:paraId="15DB7621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刘鹏高（中南大学，新疆大学）</w:t>
            </w:r>
          </w:p>
        </w:tc>
        <w:tc>
          <w:tcPr>
            <w:tcW w:w="805" w:type="dxa"/>
            <w:vAlign w:val="center"/>
          </w:tcPr>
          <w:p w14:paraId="1F4F8830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中南大学</w:t>
            </w:r>
          </w:p>
        </w:tc>
        <w:tc>
          <w:tcPr>
            <w:tcW w:w="1498" w:type="dxa"/>
            <w:vAlign w:val="center"/>
          </w:tcPr>
          <w:p w14:paraId="492855C1" w14:textId="202D0161" w:rsidR="00CD193D" w:rsidRDefault="00001D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刘鹏高（1）,刘维芳（4）,颜军（6），  刘开宇（7）</w:t>
            </w:r>
          </w:p>
        </w:tc>
        <w:tc>
          <w:tcPr>
            <w:tcW w:w="735" w:type="dxa"/>
            <w:vAlign w:val="center"/>
          </w:tcPr>
          <w:p w14:paraId="2B6EAF6C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200</w:t>
            </w:r>
          </w:p>
        </w:tc>
        <w:tc>
          <w:tcPr>
            <w:tcW w:w="766" w:type="dxa"/>
            <w:vAlign w:val="center"/>
          </w:tcPr>
          <w:p w14:paraId="504C81B3" w14:textId="06448B8F" w:rsidR="00CD193D" w:rsidRDefault="00001D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SCIE</w:t>
            </w:r>
          </w:p>
        </w:tc>
        <w:tc>
          <w:tcPr>
            <w:tcW w:w="1174" w:type="dxa"/>
            <w:vAlign w:val="center"/>
          </w:tcPr>
          <w:p w14:paraId="22188419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否</w:t>
            </w:r>
          </w:p>
        </w:tc>
      </w:tr>
      <w:tr w:rsidR="00CD193D" w14:paraId="5724865D" w14:textId="77777777" w:rsidTr="003F5509">
        <w:trPr>
          <w:trHeight w:val="1069"/>
          <w:jc w:val="center"/>
        </w:trPr>
        <w:tc>
          <w:tcPr>
            <w:tcW w:w="575" w:type="dxa"/>
            <w:vAlign w:val="center"/>
          </w:tcPr>
          <w:p w14:paraId="4055D899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4</w:t>
            </w:r>
          </w:p>
        </w:tc>
        <w:tc>
          <w:tcPr>
            <w:tcW w:w="1610" w:type="dxa"/>
            <w:vAlign w:val="center"/>
          </w:tcPr>
          <w:p w14:paraId="38633D53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A Zn ion hybrid capacitor with enhanced energy density for anode-free</w:t>
            </w:r>
          </w:p>
          <w:p w14:paraId="52346787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/</w:t>
            </w:r>
            <w:bookmarkStart w:id="3" w:name="_Hlk243234124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Journal of Power Sources</w:t>
            </w:r>
            <w:bookmarkEnd w:id="3"/>
          </w:p>
          <w:p w14:paraId="3F747FBC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Penggao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Liu *, Xiaowen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Fan ,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Baixue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Ouyang ,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Yanping Huang, Rui Hao, Shasha Gao, </w:t>
            </w:r>
          </w:p>
          <w:p w14:paraId="73551307" w14:textId="77777777" w:rsidR="00CD193D" w:rsidRDefault="00000000">
            <w:pPr>
              <w:widowControl/>
              <w:spacing w:line="280" w:lineRule="exact"/>
              <w:jc w:val="left"/>
              <w:rPr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Weifang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Liu ,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Kaiyu Liu**</w:t>
            </w:r>
          </w:p>
        </w:tc>
        <w:tc>
          <w:tcPr>
            <w:tcW w:w="715" w:type="dxa"/>
            <w:vAlign w:val="center"/>
          </w:tcPr>
          <w:p w14:paraId="21C7FB8A" w14:textId="77777777" w:rsidR="00CD193D" w:rsidRDefault="00000000">
            <w:pPr>
              <w:widowControl/>
              <w:spacing w:line="280" w:lineRule="exact"/>
              <w:jc w:val="left"/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lastRenderedPageBreak/>
              <w:t xml:space="preserve">2022年518卷230740页 </w:t>
            </w:r>
          </w:p>
          <w:p w14:paraId="1009AAB0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40" w:type="dxa"/>
            <w:vAlign w:val="center"/>
          </w:tcPr>
          <w:p w14:paraId="5DE5D556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2021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11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12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  <w:r>
              <w:rPr>
                <w:rFonts w:ascii="Times New Roman" w:hint="eastAsia"/>
                <w:sz w:val="21"/>
                <w:szCs w:val="28"/>
              </w:rPr>
              <w:t>(online)</w:t>
            </w:r>
          </w:p>
        </w:tc>
        <w:tc>
          <w:tcPr>
            <w:tcW w:w="867" w:type="dxa"/>
            <w:vAlign w:val="center"/>
          </w:tcPr>
          <w:p w14:paraId="5536354F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刘鹏高（中南大学），刘开宇（中南大学）</w:t>
            </w:r>
          </w:p>
        </w:tc>
        <w:tc>
          <w:tcPr>
            <w:tcW w:w="915" w:type="dxa"/>
            <w:vAlign w:val="center"/>
          </w:tcPr>
          <w:p w14:paraId="1BA7F536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刘鹏高（中南大学，新疆大学）</w:t>
            </w:r>
          </w:p>
        </w:tc>
        <w:tc>
          <w:tcPr>
            <w:tcW w:w="805" w:type="dxa"/>
            <w:vAlign w:val="center"/>
          </w:tcPr>
          <w:p w14:paraId="1576E678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中南大学</w:t>
            </w:r>
          </w:p>
        </w:tc>
        <w:tc>
          <w:tcPr>
            <w:tcW w:w="1498" w:type="dxa"/>
            <w:vAlign w:val="center"/>
          </w:tcPr>
          <w:p w14:paraId="0D7458DF" w14:textId="4C5D2AA7" w:rsidR="00CD193D" w:rsidRDefault="00001D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刘鹏高（1）,刘维芳（7）,  刘开宇（8）</w:t>
            </w:r>
          </w:p>
        </w:tc>
        <w:tc>
          <w:tcPr>
            <w:tcW w:w="735" w:type="dxa"/>
            <w:vAlign w:val="center"/>
          </w:tcPr>
          <w:p w14:paraId="43821D3B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32</w:t>
            </w:r>
          </w:p>
        </w:tc>
        <w:tc>
          <w:tcPr>
            <w:tcW w:w="766" w:type="dxa"/>
            <w:vAlign w:val="center"/>
          </w:tcPr>
          <w:p w14:paraId="71A83F71" w14:textId="70963BDA" w:rsidR="00CD193D" w:rsidRDefault="00001D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SCIE</w:t>
            </w:r>
          </w:p>
        </w:tc>
        <w:tc>
          <w:tcPr>
            <w:tcW w:w="1174" w:type="dxa"/>
            <w:vAlign w:val="center"/>
          </w:tcPr>
          <w:p w14:paraId="5E96B82D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否</w:t>
            </w:r>
          </w:p>
        </w:tc>
      </w:tr>
      <w:tr w:rsidR="00CD193D" w14:paraId="740A5D4F" w14:textId="77777777" w:rsidTr="003F5509">
        <w:trPr>
          <w:trHeight w:val="1069"/>
          <w:jc w:val="center"/>
        </w:trPr>
        <w:tc>
          <w:tcPr>
            <w:tcW w:w="575" w:type="dxa"/>
            <w:vAlign w:val="center"/>
          </w:tcPr>
          <w:p w14:paraId="2F438CD5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5</w:t>
            </w:r>
          </w:p>
        </w:tc>
        <w:tc>
          <w:tcPr>
            <w:tcW w:w="1610" w:type="dxa"/>
            <w:vAlign w:val="center"/>
          </w:tcPr>
          <w:p w14:paraId="4D7E8232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One-Dimensional MnO2 Nanowires Space-Confined in </w:t>
            </w:r>
          </w:p>
          <w:p w14:paraId="0955A88F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Hollow Mesoporous Carbon Nanotubes for Enhanced Zn2+ </w:t>
            </w:r>
          </w:p>
          <w:p w14:paraId="36303B1C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Storage Performance</w:t>
            </w:r>
          </w:p>
          <w:p w14:paraId="73586DBF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ChemElectroChem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/Weifang Liu,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Penggao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Liu, Rui Hao, Yanping Huang, Xinxin Chen,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Ruizheng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Cai, Jun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Yan,*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  <w:p w14:paraId="22772AA8" w14:textId="77777777" w:rsidR="00CD193D" w:rsidRDefault="00000000">
            <w:pPr>
              <w:widowControl/>
              <w:spacing w:line="280" w:lineRule="exact"/>
              <w:jc w:val="left"/>
              <w:rPr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and Kaiyu Liu*</w:t>
            </w:r>
          </w:p>
        </w:tc>
        <w:tc>
          <w:tcPr>
            <w:tcW w:w="715" w:type="dxa"/>
            <w:vAlign w:val="center"/>
          </w:tcPr>
          <w:p w14:paraId="50AC22A8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2020年7卷 1166–1171页</w:t>
            </w:r>
          </w:p>
          <w:p w14:paraId="76BA66A3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40" w:type="dxa"/>
            <w:vAlign w:val="center"/>
          </w:tcPr>
          <w:p w14:paraId="680072B9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2020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7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1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14:paraId="743E189E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颜军（中南大学），刘开宇（中南大学）</w:t>
            </w:r>
          </w:p>
        </w:tc>
        <w:tc>
          <w:tcPr>
            <w:tcW w:w="915" w:type="dxa"/>
            <w:vAlign w:val="center"/>
          </w:tcPr>
          <w:p w14:paraId="0D435771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刘维芳（中南大学，湖南科技大学）</w:t>
            </w:r>
          </w:p>
        </w:tc>
        <w:tc>
          <w:tcPr>
            <w:tcW w:w="805" w:type="dxa"/>
            <w:vAlign w:val="center"/>
          </w:tcPr>
          <w:p w14:paraId="6B7E4F35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中南大学</w:t>
            </w:r>
          </w:p>
        </w:tc>
        <w:tc>
          <w:tcPr>
            <w:tcW w:w="1498" w:type="dxa"/>
            <w:vAlign w:val="center"/>
          </w:tcPr>
          <w:p w14:paraId="67B19731" w14:textId="42DC8026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刘维芳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（1）</w:t>
            </w:r>
            <w:r>
              <w:rPr>
                <w:rFonts w:ascii="宋体" w:hAnsi="宋体" w:cs="宋体" w:hint="eastAsia"/>
                <w:sz w:val="21"/>
                <w:szCs w:val="21"/>
              </w:rPr>
              <w:t>,刘鹏高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（2）</w:t>
            </w:r>
            <w:r>
              <w:rPr>
                <w:rFonts w:ascii="宋体" w:hAnsi="宋体" w:cs="宋体" w:hint="eastAsia"/>
                <w:sz w:val="21"/>
                <w:szCs w:val="21"/>
              </w:rPr>
              <w:t>,颜军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（7），</w:t>
            </w:r>
            <w:r>
              <w:rPr>
                <w:rFonts w:ascii="宋体" w:hAnsi="宋体" w:cs="宋体" w:hint="eastAsia"/>
                <w:sz w:val="21"/>
                <w:szCs w:val="21"/>
              </w:rPr>
              <w:t xml:space="preserve">  刘开宇</w:t>
            </w:r>
            <w:r w:rsidR="00001D93">
              <w:rPr>
                <w:rFonts w:ascii="宋体" w:hAnsi="宋体" w:cs="宋体" w:hint="eastAsia"/>
                <w:sz w:val="21"/>
                <w:szCs w:val="21"/>
              </w:rPr>
              <w:t>（8）</w:t>
            </w:r>
          </w:p>
        </w:tc>
        <w:tc>
          <w:tcPr>
            <w:tcW w:w="735" w:type="dxa"/>
            <w:vAlign w:val="center"/>
          </w:tcPr>
          <w:p w14:paraId="23022538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16</w:t>
            </w:r>
          </w:p>
        </w:tc>
        <w:tc>
          <w:tcPr>
            <w:tcW w:w="766" w:type="dxa"/>
            <w:vAlign w:val="center"/>
          </w:tcPr>
          <w:p w14:paraId="245A96D5" w14:textId="4CFE3DA9" w:rsidR="00CD193D" w:rsidRDefault="00001D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SCIE</w:t>
            </w:r>
          </w:p>
        </w:tc>
        <w:tc>
          <w:tcPr>
            <w:tcW w:w="1174" w:type="dxa"/>
            <w:vAlign w:val="center"/>
          </w:tcPr>
          <w:p w14:paraId="425939C7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否</w:t>
            </w:r>
          </w:p>
        </w:tc>
      </w:tr>
      <w:tr w:rsidR="00CD193D" w14:paraId="7FEAB40E" w14:textId="77777777" w:rsidTr="003F5509">
        <w:trPr>
          <w:trHeight w:val="868"/>
          <w:jc w:val="center"/>
        </w:trPr>
        <w:tc>
          <w:tcPr>
            <w:tcW w:w="6227" w:type="dxa"/>
            <w:gridSpan w:val="7"/>
            <w:vAlign w:val="center"/>
          </w:tcPr>
          <w:p w14:paraId="4CAA8D9E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合</w:t>
            </w:r>
            <w:r>
              <w:rPr>
                <w:rFonts w:ascii="Times New Roman"/>
                <w:sz w:val="21"/>
                <w:szCs w:val="28"/>
              </w:rPr>
              <w:t xml:space="preserve">  </w:t>
            </w:r>
            <w:r>
              <w:rPr>
                <w:rFonts w:ascii="Times New Roman"/>
                <w:sz w:val="21"/>
                <w:szCs w:val="28"/>
              </w:rPr>
              <w:t>计</w:t>
            </w:r>
          </w:p>
        </w:tc>
        <w:tc>
          <w:tcPr>
            <w:tcW w:w="1498" w:type="dxa"/>
            <w:vAlign w:val="center"/>
          </w:tcPr>
          <w:p w14:paraId="4607D238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351896CB" w14:textId="77777777" w:rsidR="00CD193D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882</w:t>
            </w:r>
          </w:p>
        </w:tc>
        <w:tc>
          <w:tcPr>
            <w:tcW w:w="766" w:type="dxa"/>
            <w:vAlign w:val="center"/>
          </w:tcPr>
          <w:p w14:paraId="0B5DCB88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174" w:type="dxa"/>
            <w:vAlign w:val="center"/>
          </w:tcPr>
          <w:p w14:paraId="2855D575" w14:textId="77777777" w:rsidR="00CD193D" w:rsidRDefault="00CD193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</w:tbl>
    <w:p w14:paraId="6A0A7305" w14:textId="77777777" w:rsidR="00CD193D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：刘开宇，刘维芳，刘鹏高，颜军</w:t>
      </w:r>
    </w:p>
    <w:p w14:paraId="2DEB836C" w14:textId="77777777" w:rsidR="00CD193D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六、主要完成单位：中南大学，湖南科技大学，新疆大学</w:t>
      </w:r>
    </w:p>
    <w:p w14:paraId="3F1DA2B2" w14:textId="77777777" w:rsidR="00CD193D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七、主要完成人合作关系说明（含汇总表）</w:t>
      </w:r>
    </w:p>
    <w:p w14:paraId="6EF7660C" w14:textId="77777777" w:rsidR="00CD193D" w:rsidRDefault="00000000">
      <w:pPr>
        <w:widowControl/>
        <w:spacing w:line="560" w:lineRule="exact"/>
        <w:rPr>
          <w:b/>
          <w:sz w:val="28"/>
        </w:rPr>
      </w:pPr>
      <w:r>
        <w:rPr>
          <w:b/>
          <w:sz w:val="28"/>
        </w:rPr>
        <w:t>主要完成人合作关系说明</w:t>
      </w:r>
      <w:r>
        <w:rPr>
          <w:rFonts w:hint="eastAsia"/>
          <w:b/>
          <w:sz w:val="28"/>
        </w:rPr>
        <w:t>：</w:t>
      </w:r>
    </w:p>
    <w:p w14:paraId="2412BCF8" w14:textId="77777777" w:rsidR="00CD193D" w:rsidRDefault="00000000">
      <w:pPr>
        <w:widowControl/>
        <w:spacing w:line="560" w:lineRule="exact"/>
        <w:ind w:firstLineChars="200" w:firstLine="560"/>
        <w:rPr>
          <w:b/>
          <w:sz w:val="28"/>
        </w:rPr>
      </w:pPr>
      <w:r>
        <w:rPr>
          <w:rFonts w:hint="eastAsia"/>
          <w:color w:val="000000"/>
          <w:sz w:val="28"/>
          <w:szCs w:val="28"/>
        </w:rPr>
        <w:lastRenderedPageBreak/>
        <w:t>在本项目研究实施期间，本人（</w:t>
      </w:r>
      <w:r>
        <w:rPr>
          <w:rFonts w:hint="eastAsia"/>
          <w:sz w:val="28"/>
        </w:rPr>
        <w:t>刘开宇</w:t>
      </w:r>
      <w:r>
        <w:rPr>
          <w:rFonts w:hint="eastAsia"/>
          <w:color w:val="000000"/>
          <w:sz w:val="28"/>
          <w:szCs w:val="28"/>
        </w:rPr>
        <w:t>）与各位项目完成人相互合作，构建了高效的研究协作关系。现将项目主要完成人之间具体合作情况说明如下：</w:t>
      </w:r>
    </w:p>
    <w:p w14:paraId="7DE82B11" w14:textId="77777777" w:rsidR="00CD193D" w:rsidRDefault="00000000">
      <w:pPr>
        <w:widowControl/>
        <w:spacing w:line="560" w:lineRule="exact"/>
        <w:ind w:firstLineChars="200" w:firstLine="560"/>
        <w:rPr>
          <w:bCs/>
          <w:sz w:val="28"/>
        </w:rPr>
      </w:pPr>
      <w:r>
        <w:rPr>
          <w:rFonts w:hint="eastAsia"/>
          <w:bCs/>
          <w:sz w:val="28"/>
        </w:rPr>
        <w:t>刘开宇为五篇代表性论文的通讯作者，为代表性论文</w:t>
      </w:r>
      <w:r>
        <w:rPr>
          <w:rFonts w:hint="eastAsia"/>
          <w:bCs/>
          <w:sz w:val="28"/>
        </w:rPr>
        <w:t>1</w:t>
      </w:r>
      <w:r>
        <w:rPr>
          <w:rFonts w:hint="eastAsia"/>
          <w:bCs/>
          <w:sz w:val="28"/>
        </w:rPr>
        <w:t>、代表性论文</w:t>
      </w:r>
      <w:r>
        <w:rPr>
          <w:rFonts w:hint="eastAsia"/>
          <w:bCs/>
          <w:sz w:val="28"/>
        </w:rPr>
        <w:t>2</w:t>
      </w:r>
      <w:r>
        <w:rPr>
          <w:rFonts w:hint="eastAsia"/>
          <w:bCs/>
          <w:sz w:val="28"/>
        </w:rPr>
        <w:t>、代表性论文</w:t>
      </w:r>
      <w:r>
        <w:rPr>
          <w:rFonts w:hint="eastAsia"/>
          <w:bCs/>
          <w:sz w:val="28"/>
        </w:rPr>
        <w:t>3</w:t>
      </w:r>
      <w:r>
        <w:rPr>
          <w:rFonts w:hint="eastAsia"/>
          <w:bCs/>
          <w:sz w:val="28"/>
        </w:rPr>
        <w:t>和代表性论文</w:t>
      </w:r>
      <w:r>
        <w:rPr>
          <w:rFonts w:hint="eastAsia"/>
          <w:bCs/>
          <w:sz w:val="28"/>
        </w:rPr>
        <w:t>4</w:t>
      </w:r>
      <w:r>
        <w:rPr>
          <w:rFonts w:hint="eastAsia"/>
          <w:bCs/>
          <w:sz w:val="28"/>
        </w:rPr>
        <w:t>的第一作者刘鹏高博士的博士指导教师。颜军为三篇代表性论文（代表性论文</w:t>
      </w:r>
      <w:r>
        <w:rPr>
          <w:rFonts w:hint="eastAsia"/>
          <w:bCs/>
          <w:sz w:val="28"/>
        </w:rPr>
        <w:t>1</w:t>
      </w:r>
      <w:r>
        <w:rPr>
          <w:rFonts w:hint="eastAsia"/>
          <w:bCs/>
          <w:sz w:val="28"/>
        </w:rPr>
        <w:t>、代表性论文</w:t>
      </w:r>
      <w:r>
        <w:rPr>
          <w:rFonts w:hint="eastAsia"/>
          <w:bCs/>
          <w:sz w:val="28"/>
        </w:rPr>
        <w:t>3</w:t>
      </w:r>
      <w:r>
        <w:rPr>
          <w:rFonts w:hint="eastAsia"/>
          <w:bCs/>
          <w:sz w:val="28"/>
        </w:rPr>
        <w:t>和代表性论文</w:t>
      </w:r>
      <w:r>
        <w:rPr>
          <w:rFonts w:hint="eastAsia"/>
          <w:bCs/>
          <w:sz w:val="28"/>
        </w:rPr>
        <w:t>5</w:t>
      </w:r>
      <w:r>
        <w:rPr>
          <w:rFonts w:hint="eastAsia"/>
          <w:bCs/>
          <w:sz w:val="28"/>
        </w:rPr>
        <w:t>）的共同通讯作者，代表性论文</w:t>
      </w:r>
      <w:r>
        <w:rPr>
          <w:rFonts w:hint="eastAsia"/>
          <w:bCs/>
          <w:sz w:val="28"/>
        </w:rPr>
        <w:t>5</w:t>
      </w:r>
      <w:r>
        <w:rPr>
          <w:rFonts w:hint="eastAsia"/>
          <w:bCs/>
          <w:sz w:val="28"/>
        </w:rPr>
        <w:t>的第一作者刘维芳博士的博士指导教师。目前，刘开宇和颜军均为中南大学化学化工学院教授，刘维芳为湖南科技大学校聘副教授，刘鹏高为新疆大学副教授。</w:t>
      </w:r>
      <w:r>
        <w:rPr>
          <w:bCs/>
          <w:sz w:val="28"/>
        </w:rPr>
        <w:t>主要完成人</w:t>
      </w:r>
      <w:r>
        <w:rPr>
          <w:rFonts w:hint="eastAsia"/>
          <w:bCs/>
          <w:sz w:val="28"/>
        </w:rPr>
        <w:t>四人均为师生或同事关系，自</w:t>
      </w:r>
      <w:r>
        <w:rPr>
          <w:rFonts w:hint="eastAsia"/>
          <w:bCs/>
          <w:sz w:val="28"/>
        </w:rPr>
        <w:t>2016</w:t>
      </w:r>
      <w:r>
        <w:rPr>
          <w:rFonts w:hint="eastAsia"/>
          <w:bCs/>
          <w:sz w:val="28"/>
        </w:rPr>
        <w:t>年以来，彼此之间有长久的高效合作。</w:t>
      </w:r>
    </w:p>
    <w:p w14:paraId="4EC91520" w14:textId="77777777" w:rsidR="00CD193D" w:rsidRDefault="00000000">
      <w:pPr>
        <w:widowControl/>
        <w:spacing w:line="560" w:lineRule="exact"/>
        <w:ind w:firstLineChars="200" w:firstLine="560"/>
        <w:rPr>
          <w:bCs/>
          <w:sz w:val="28"/>
        </w:rPr>
      </w:pPr>
      <w:r>
        <w:rPr>
          <w:rFonts w:hint="eastAsia"/>
          <w:bCs/>
          <w:sz w:val="28"/>
        </w:rPr>
        <w:t>本人（刘开宇）参与了全部五篇代表性论文的指导，包括实验方案的制定、过程指导和论文修改等工作。</w:t>
      </w:r>
    </w:p>
    <w:p w14:paraId="133C4079" w14:textId="77777777" w:rsidR="00CD193D" w:rsidRDefault="00000000">
      <w:pPr>
        <w:widowControl/>
        <w:spacing w:line="560" w:lineRule="exact"/>
        <w:ind w:firstLineChars="200" w:firstLine="560"/>
        <w:rPr>
          <w:bCs/>
          <w:sz w:val="28"/>
        </w:rPr>
      </w:pPr>
      <w:r>
        <w:rPr>
          <w:rFonts w:hint="eastAsia"/>
          <w:bCs/>
          <w:sz w:val="28"/>
        </w:rPr>
        <w:t>颜军参与了代表性论文</w:t>
      </w:r>
      <w:r>
        <w:rPr>
          <w:rFonts w:hint="eastAsia"/>
          <w:bCs/>
          <w:sz w:val="28"/>
        </w:rPr>
        <w:t>1</w:t>
      </w:r>
      <w:r>
        <w:rPr>
          <w:rFonts w:hint="eastAsia"/>
          <w:bCs/>
          <w:sz w:val="28"/>
        </w:rPr>
        <w:t>、代表性论文</w:t>
      </w:r>
      <w:r>
        <w:rPr>
          <w:rFonts w:hint="eastAsia"/>
          <w:bCs/>
          <w:sz w:val="28"/>
        </w:rPr>
        <w:t>3</w:t>
      </w:r>
      <w:r>
        <w:rPr>
          <w:rFonts w:hint="eastAsia"/>
          <w:bCs/>
          <w:sz w:val="28"/>
        </w:rPr>
        <w:t>和代表性论文</w:t>
      </w:r>
      <w:r>
        <w:rPr>
          <w:rFonts w:hint="eastAsia"/>
          <w:bCs/>
          <w:sz w:val="28"/>
        </w:rPr>
        <w:t>5</w:t>
      </w:r>
      <w:r>
        <w:rPr>
          <w:rFonts w:hint="eastAsia"/>
          <w:bCs/>
          <w:sz w:val="28"/>
        </w:rPr>
        <w:t>的指导，包括实验方案的制定、过程指导及代表性论文</w:t>
      </w:r>
      <w:r>
        <w:rPr>
          <w:rFonts w:hint="eastAsia"/>
          <w:bCs/>
          <w:sz w:val="28"/>
        </w:rPr>
        <w:t>5</w:t>
      </w:r>
      <w:r>
        <w:rPr>
          <w:rFonts w:hint="eastAsia"/>
          <w:bCs/>
          <w:sz w:val="28"/>
        </w:rPr>
        <w:t>的论文修改工作。</w:t>
      </w:r>
    </w:p>
    <w:p w14:paraId="09821F41" w14:textId="77777777" w:rsidR="00CD193D" w:rsidRDefault="00000000">
      <w:pPr>
        <w:widowControl/>
        <w:spacing w:line="560" w:lineRule="exact"/>
        <w:ind w:firstLineChars="200" w:firstLine="560"/>
        <w:rPr>
          <w:bCs/>
          <w:sz w:val="28"/>
        </w:rPr>
      </w:pPr>
      <w:r>
        <w:rPr>
          <w:rFonts w:hint="eastAsia"/>
          <w:bCs/>
          <w:sz w:val="28"/>
        </w:rPr>
        <w:t>刘维芳完成了代表性论文</w:t>
      </w:r>
      <w:r>
        <w:rPr>
          <w:rFonts w:hint="eastAsia"/>
          <w:bCs/>
          <w:sz w:val="28"/>
        </w:rPr>
        <w:t>5</w:t>
      </w:r>
      <w:r>
        <w:rPr>
          <w:rFonts w:hint="eastAsia"/>
          <w:bCs/>
          <w:sz w:val="28"/>
        </w:rPr>
        <w:t>的实验方案制定、实验验证、性能表征及论文撰写工作，同时参与了代表性论文</w:t>
      </w:r>
      <w:r>
        <w:rPr>
          <w:rFonts w:hint="eastAsia"/>
          <w:bCs/>
          <w:sz w:val="28"/>
        </w:rPr>
        <w:t>1-4</w:t>
      </w:r>
      <w:r>
        <w:rPr>
          <w:rFonts w:hint="eastAsia"/>
          <w:bCs/>
          <w:sz w:val="28"/>
        </w:rPr>
        <w:t>的实验验证与性能表征工作。</w:t>
      </w:r>
    </w:p>
    <w:p w14:paraId="5FF5A40E" w14:textId="77777777" w:rsidR="00CD193D" w:rsidRDefault="00000000">
      <w:pPr>
        <w:widowControl/>
        <w:spacing w:line="560" w:lineRule="exact"/>
        <w:ind w:firstLineChars="200" w:firstLine="560"/>
        <w:rPr>
          <w:bCs/>
          <w:sz w:val="28"/>
        </w:rPr>
      </w:pPr>
      <w:r>
        <w:rPr>
          <w:rFonts w:hint="eastAsia"/>
          <w:bCs/>
          <w:sz w:val="28"/>
        </w:rPr>
        <w:t>刘鹏高完成了代表性论文</w:t>
      </w:r>
      <w:r>
        <w:rPr>
          <w:rFonts w:hint="eastAsia"/>
          <w:bCs/>
          <w:sz w:val="28"/>
        </w:rPr>
        <w:t>1-4</w:t>
      </w:r>
      <w:r>
        <w:rPr>
          <w:rFonts w:hint="eastAsia"/>
          <w:bCs/>
          <w:sz w:val="28"/>
        </w:rPr>
        <w:t>的实验方案制定、实验验证、性能表征及论文撰写工作，同时参与了代表性论文</w:t>
      </w:r>
      <w:r>
        <w:rPr>
          <w:rFonts w:hint="eastAsia"/>
          <w:bCs/>
          <w:sz w:val="28"/>
        </w:rPr>
        <w:t>5</w:t>
      </w:r>
      <w:r>
        <w:rPr>
          <w:rFonts w:hint="eastAsia"/>
          <w:bCs/>
          <w:sz w:val="28"/>
        </w:rPr>
        <w:t>的性能表征与论文修改工作。</w:t>
      </w:r>
    </w:p>
    <w:p w14:paraId="0B6E20DD" w14:textId="77777777" w:rsidR="003F5509" w:rsidRDefault="003F5509" w:rsidP="003E1FFE">
      <w:pPr>
        <w:widowControl/>
        <w:spacing w:line="560" w:lineRule="exact"/>
        <w:rPr>
          <w:b/>
          <w:sz w:val="28"/>
        </w:rPr>
      </w:pPr>
    </w:p>
    <w:p w14:paraId="6EF1D740" w14:textId="77777777" w:rsidR="003F5509" w:rsidRDefault="003F5509" w:rsidP="003E1FFE">
      <w:pPr>
        <w:widowControl/>
        <w:spacing w:line="560" w:lineRule="exact"/>
        <w:rPr>
          <w:b/>
          <w:sz w:val="28"/>
        </w:rPr>
      </w:pPr>
    </w:p>
    <w:p w14:paraId="196CE1C6" w14:textId="77777777" w:rsidR="003F5509" w:rsidRDefault="003F5509" w:rsidP="003E1FFE">
      <w:pPr>
        <w:widowControl/>
        <w:spacing w:line="560" w:lineRule="exact"/>
        <w:rPr>
          <w:rFonts w:hint="eastAsia"/>
          <w:b/>
          <w:sz w:val="28"/>
        </w:rPr>
      </w:pPr>
    </w:p>
    <w:p w14:paraId="5C20A35B" w14:textId="77777777" w:rsidR="00CD193D" w:rsidRDefault="00000000">
      <w:pPr>
        <w:widowControl/>
        <w:spacing w:line="56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主要完成人合作关系情况汇总表</w:t>
      </w:r>
    </w:p>
    <w:tbl>
      <w:tblPr>
        <w:tblW w:w="8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278"/>
        <w:gridCol w:w="1528"/>
        <w:gridCol w:w="1353"/>
        <w:gridCol w:w="1397"/>
        <w:gridCol w:w="1261"/>
        <w:gridCol w:w="1064"/>
      </w:tblGrid>
      <w:tr w:rsidR="00CD193D" w14:paraId="236472F0" w14:textId="77777777">
        <w:trPr>
          <w:trHeight w:val="687"/>
          <w:jc w:val="center"/>
        </w:trPr>
        <w:tc>
          <w:tcPr>
            <w:tcW w:w="819" w:type="dxa"/>
            <w:vAlign w:val="center"/>
          </w:tcPr>
          <w:p w14:paraId="6B27BD43" w14:textId="77777777" w:rsidR="00CD193D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8" w:type="dxa"/>
            <w:vAlign w:val="center"/>
          </w:tcPr>
          <w:p w14:paraId="6E94A00F" w14:textId="77777777" w:rsidR="00CD193D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合作方式</w:t>
            </w:r>
          </w:p>
        </w:tc>
        <w:tc>
          <w:tcPr>
            <w:tcW w:w="1528" w:type="dxa"/>
            <w:vAlign w:val="center"/>
          </w:tcPr>
          <w:p w14:paraId="56CD4EDE" w14:textId="77777777" w:rsidR="00CD193D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排名</w:t>
            </w:r>
          </w:p>
        </w:tc>
        <w:tc>
          <w:tcPr>
            <w:tcW w:w="1353" w:type="dxa"/>
            <w:vAlign w:val="center"/>
          </w:tcPr>
          <w:p w14:paraId="1D577863" w14:textId="77777777" w:rsidR="00CD193D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合作时间</w:t>
            </w:r>
          </w:p>
        </w:tc>
        <w:tc>
          <w:tcPr>
            <w:tcW w:w="1397" w:type="dxa"/>
            <w:vAlign w:val="center"/>
          </w:tcPr>
          <w:p w14:paraId="3FB22A5B" w14:textId="77777777" w:rsidR="00CD193D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合作成果</w:t>
            </w:r>
          </w:p>
        </w:tc>
        <w:tc>
          <w:tcPr>
            <w:tcW w:w="1261" w:type="dxa"/>
            <w:vAlign w:val="center"/>
          </w:tcPr>
          <w:p w14:paraId="310FCE56" w14:textId="77777777" w:rsidR="00CD193D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证明材料</w:t>
            </w:r>
          </w:p>
        </w:tc>
        <w:tc>
          <w:tcPr>
            <w:tcW w:w="1064" w:type="dxa"/>
            <w:vAlign w:val="center"/>
          </w:tcPr>
          <w:p w14:paraId="466B7496" w14:textId="77777777" w:rsidR="00CD193D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CD193D" w14:paraId="2FC51F12" w14:textId="77777777">
        <w:trPr>
          <w:trHeight w:val="644"/>
          <w:jc w:val="center"/>
        </w:trPr>
        <w:tc>
          <w:tcPr>
            <w:tcW w:w="819" w:type="dxa"/>
          </w:tcPr>
          <w:p w14:paraId="5F9A2FDC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278" w:type="dxa"/>
          </w:tcPr>
          <w:p w14:paraId="392B007C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论文合著</w:t>
            </w:r>
          </w:p>
        </w:tc>
        <w:tc>
          <w:tcPr>
            <w:tcW w:w="1528" w:type="dxa"/>
          </w:tcPr>
          <w:p w14:paraId="41BE6EA9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刘鹏高/1</w:t>
            </w:r>
          </w:p>
          <w:p w14:paraId="41A82C86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刘维芳/2</w:t>
            </w:r>
          </w:p>
          <w:p w14:paraId="6BC0F66E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颜军/5（通讯）</w:t>
            </w:r>
          </w:p>
        </w:tc>
        <w:tc>
          <w:tcPr>
            <w:tcW w:w="1353" w:type="dxa"/>
          </w:tcPr>
          <w:p w14:paraId="64BACD6C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2018年7月-2020年9月</w:t>
            </w:r>
          </w:p>
        </w:tc>
        <w:tc>
          <w:tcPr>
            <w:tcW w:w="1397" w:type="dxa"/>
          </w:tcPr>
          <w:p w14:paraId="6D67A4FD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Mesoporous hollow carbon spheres boosted, integrated high performance </w:t>
            </w:r>
          </w:p>
          <w:p w14:paraId="3C31684F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aqueous Zn-Ion energy storage/Energy Storage Materials</w:t>
            </w:r>
          </w:p>
        </w:tc>
        <w:tc>
          <w:tcPr>
            <w:tcW w:w="1261" w:type="dxa"/>
          </w:tcPr>
          <w:p w14:paraId="4E7B75D7" w14:textId="2E68CE93" w:rsidR="00CD193D" w:rsidRDefault="00000000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代表性论文1</w:t>
            </w:r>
          </w:p>
        </w:tc>
        <w:tc>
          <w:tcPr>
            <w:tcW w:w="1064" w:type="dxa"/>
          </w:tcPr>
          <w:p w14:paraId="71649C75" w14:textId="77777777" w:rsidR="00CD193D" w:rsidRDefault="00CD193D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</w:p>
          <w:p w14:paraId="3BD32F29" w14:textId="77777777" w:rsidR="00CD193D" w:rsidRDefault="00CD193D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CD193D" w14:paraId="00076228" w14:textId="77777777">
        <w:trPr>
          <w:trHeight w:val="644"/>
          <w:jc w:val="center"/>
        </w:trPr>
        <w:tc>
          <w:tcPr>
            <w:tcW w:w="819" w:type="dxa"/>
          </w:tcPr>
          <w:p w14:paraId="3845D3F3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278" w:type="dxa"/>
          </w:tcPr>
          <w:p w14:paraId="69E0E605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论文合著</w:t>
            </w:r>
          </w:p>
        </w:tc>
        <w:tc>
          <w:tcPr>
            <w:tcW w:w="1528" w:type="dxa"/>
          </w:tcPr>
          <w:p w14:paraId="73E5385D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刘鹏高/1</w:t>
            </w:r>
          </w:p>
          <w:p w14:paraId="3BB02CDD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刘维芳/5</w:t>
            </w:r>
          </w:p>
          <w:p w14:paraId="70B5F578" w14:textId="77777777" w:rsidR="00CD193D" w:rsidRDefault="00000000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颜军/8</w:t>
            </w:r>
          </w:p>
        </w:tc>
        <w:tc>
          <w:tcPr>
            <w:tcW w:w="1353" w:type="dxa"/>
          </w:tcPr>
          <w:p w14:paraId="0F96FEF9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2019年5月-2021年9月</w:t>
            </w:r>
          </w:p>
        </w:tc>
        <w:tc>
          <w:tcPr>
            <w:tcW w:w="1397" w:type="dxa"/>
          </w:tcPr>
          <w:p w14:paraId="2EC04C08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Ultra-highly stable zinc metal anode via 3D-printed g-C3N4 modulating </w:t>
            </w:r>
          </w:p>
          <w:p w14:paraId="2231A3E1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interface for long life energy storage systems</w:t>
            </w:r>
          </w:p>
        </w:tc>
        <w:tc>
          <w:tcPr>
            <w:tcW w:w="1261" w:type="dxa"/>
          </w:tcPr>
          <w:p w14:paraId="6568A176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代表性论文2</w:t>
            </w:r>
          </w:p>
        </w:tc>
        <w:tc>
          <w:tcPr>
            <w:tcW w:w="1064" w:type="dxa"/>
          </w:tcPr>
          <w:p w14:paraId="7A072AF1" w14:textId="77777777" w:rsidR="00CD193D" w:rsidRDefault="00CD193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</w:p>
        </w:tc>
      </w:tr>
      <w:tr w:rsidR="00CD193D" w14:paraId="025AA365" w14:textId="77777777">
        <w:trPr>
          <w:trHeight w:val="644"/>
          <w:jc w:val="center"/>
        </w:trPr>
        <w:tc>
          <w:tcPr>
            <w:tcW w:w="819" w:type="dxa"/>
          </w:tcPr>
          <w:p w14:paraId="364D3CB9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278" w:type="dxa"/>
          </w:tcPr>
          <w:p w14:paraId="4C1F54C8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论文合著</w:t>
            </w:r>
          </w:p>
        </w:tc>
        <w:tc>
          <w:tcPr>
            <w:tcW w:w="1528" w:type="dxa"/>
          </w:tcPr>
          <w:p w14:paraId="69046062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刘鹏高/1</w:t>
            </w:r>
          </w:p>
          <w:p w14:paraId="67F286BC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刘维芳/4</w:t>
            </w:r>
          </w:p>
          <w:p w14:paraId="5E27D328" w14:textId="77777777" w:rsidR="00CD193D" w:rsidRDefault="00000000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颜军/6（通讯）</w:t>
            </w:r>
          </w:p>
        </w:tc>
        <w:tc>
          <w:tcPr>
            <w:tcW w:w="1353" w:type="dxa"/>
          </w:tcPr>
          <w:p w14:paraId="38DC7ED9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2018年6月-2019年12月</w:t>
            </w:r>
          </w:p>
        </w:tc>
        <w:tc>
          <w:tcPr>
            <w:tcW w:w="1397" w:type="dxa"/>
          </w:tcPr>
          <w:p w14:paraId="7DFB1216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 xml:space="preserve">Rational design of nitrogen doped hierarchical porous carbon for </w:t>
            </w:r>
          </w:p>
          <w:p w14:paraId="23F1CC3B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optimized zinc-ion hybrid supercapacitors</w:t>
            </w:r>
          </w:p>
        </w:tc>
        <w:tc>
          <w:tcPr>
            <w:tcW w:w="1261" w:type="dxa"/>
          </w:tcPr>
          <w:p w14:paraId="0E34BF31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代表性论文3</w:t>
            </w:r>
          </w:p>
        </w:tc>
        <w:tc>
          <w:tcPr>
            <w:tcW w:w="1064" w:type="dxa"/>
          </w:tcPr>
          <w:p w14:paraId="1897606B" w14:textId="77777777" w:rsidR="00CD193D" w:rsidRDefault="00CD193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</w:p>
        </w:tc>
      </w:tr>
      <w:tr w:rsidR="00CD193D" w14:paraId="00632285" w14:textId="77777777">
        <w:trPr>
          <w:trHeight w:val="644"/>
          <w:jc w:val="center"/>
        </w:trPr>
        <w:tc>
          <w:tcPr>
            <w:tcW w:w="819" w:type="dxa"/>
          </w:tcPr>
          <w:p w14:paraId="6A3B07D8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75A8E579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论文合著</w:t>
            </w:r>
          </w:p>
        </w:tc>
        <w:tc>
          <w:tcPr>
            <w:tcW w:w="1528" w:type="dxa"/>
          </w:tcPr>
          <w:p w14:paraId="6B785B66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刘鹏高/1</w:t>
            </w:r>
          </w:p>
          <w:p w14:paraId="03574F6B" w14:textId="77777777" w:rsidR="00CD193D" w:rsidRDefault="00000000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刘维芳/7</w:t>
            </w:r>
          </w:p>
        </w:tc>
        <w:tc>
          <w:tcPr>
            <w:tcW w:w="1353" w:type="dxa"/>
          </w:tcPr>
          <w:p w14:paraId="478E7CFC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2020年6月-2021年12月</w:t>
            </w:r>
          </w:p>
        </w:tc>
        <w:tc>
          <w:tcPr>
            <w:tcW w:w="1397" w:type="dxa"/>
          </w:tcPr>
          <w:p w14:paraId="405DA378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A Zn ion hybrid capacitor with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enhanced energy density for anode-free</w:t>
            </w:r>
          </w:p>
        </w:tc>
        <w:tc>
          <w:tcPr>
            <w:tcW w:w="1261" w:type="dxa"/>
          </w:tcPr>
          <w:p w14:paraId="6354F6DA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代表性论文4</w:t>
            </w:r>
          </w:p>
        </w:tc>
        <w:tc>
          <w:tcPr>
            <w:tcW w:w="1064" w:type="dxa"/>
          </w:tcPr>
          <w:p w14:paraId="4D8EF53E" w14:textId="77777777" w:rsidR="00CD193D" w:rsidRDefault="00CD193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</w:p>
        </w:tc>
      </w:tr>
      <w:tr w:rsidR="00CD193D" w14:paraId="0F17CACF" w14:textId="77777777">
        <w:trPr>
          <w:trHeight w:val="644"/>
          <w:jc w:val="center"/>
        </w:trPr>
        <w:tc>
          <w:tcPr>
            <w:tcW w:w="819" w:type="dxa"/>
          </w:tcPr>
          <w:p w14:paraId="762FF75E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278" w:type="dxa"/>
          </w:tcPr>
          <w:p w14:paraId="2931D40D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论文合著</w:t>
            </w:r>
          </w:p>
        </w:tc>
        <w:tc>
          <w:tcPr>
            <w:tcW w:w="1528" w:type="dxa"/>
          </w:tcPr>
          <w:p w14:paraId="77A0C52B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刘维芳/1</w:t>
            </w:r>
          </w:p>
          <w:p w14:paraId="6DB909A4" w14:textId="77777777" w:rsidR="00CD193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刘鹏高/2</w:t>
            </w:r>
          </w:p>
          <w:p w14:paraId="6EB3BEB4" w14:textId="77777777" w:rsidR="00CD193D" w:rsidRDefault="00000000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颜军/7（通讯）</w:t>
            </w:r>
          </w:p>
        </w:tc>
        <w:tc>
          <w:tcPr>
            <w:tcW w:w="1353" w:type="dxa"/>
          </w:tcPr>
          <w:p w14:paraId="00A7EF6A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2019年6月-2020年12月</w:t>
            </w:r>
          </w:p>
        </w:tc>
        <w:tc>
          <w:tcPr>
            <w:tcW w:w="1397" w:type="dxa"/>
          </w:tcPr>
          <w:p w14:paraId="459857E6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One-Dimensional MnO2 Nanowires Space-Confined in </w:t>
            </w:r>
          </w:p>
          <w:p w14:paraId="0070FAB6" w14:textId="77777777" w:rsidR="00CD193D" w:rsidRDefault="00000000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Hollow Mesoporous Carbon Nanotubes for Enhanced Zn2+ </w:t>
            </w:r>
          </w:p>
          <w:p w14:paraId="094EC321" w14:textId="77777777" w:rsidR="00CD193D" w:rsidRDefault="00000000">
            <w:pPr>
              <w:widowControl/>
              <w:spacing w:line="280" w:lineRule="exac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Storage Performance</w:t>
            </w:r>
          </w:p>
        </w:tc>
        <w:tc>
          <w:tcPr>
            <w:tcW w:w="1261" w:type="dxa"/>
          </w:tcPr>
          <w:p w14:paraId="2DA08682" w14:textId="77777777" w:rsidR="00CD193D" w:rsidRDefault="00000000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Cs w:val="21"/>
              </w:rPr>
              <w:t>代表性论文5</w:t>
            </w:r>
          </w:p>
        </w:tc>
        <w:tc>
          <w:tcPr>
            <w:tcW w:w="1064" w:type="dxa"/>
          </w:tcPr>
          <w:p w14:paraId="0254ED14" w14:textId="77777777" w:rsidR="00CD193D" w:rsidRDefault="00CD193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</w:p>
        </w:tc>
      </w:tr>
    </w:tbl>
    <w:p w14:paraId="1ECC1B51" w14:textId="77777777" w:rsidR="00CD193D" w:rsidRDefault="00CD193D">
      <w:pPr>
        <w:spacing w:line="540" w:lineRule="exact"/>
        <w:rPr>
          <w:szCs w:val="21"/>
        </w:rPr>
      </w:pPr>
    </w:p>
    <w:sectPr w:rsidR="00CD19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D1C57" w14:textId="77777777" w:rsidR="00700EA2" w:rsidRDefault="00700EA2" w:rsidP="0048345B">
      <w:r>
        <w:separator/>
      </w:r>
    </w:p>
  </w:endnote>
  <w:endnote w:type="continuationSeparator" w:id="0">
    <w:p w14:paraId="519C5804" w14:textId="77777777" w:rsidR="00700EA2" w:rsidRDefault="00700EA2" w:rsidP="0048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74199C6-8FC5-4BD3-826D-92C523AD68B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18C1B" w14:textId="77777777" w:rsidR="00700EA2" w:rsidRDefault="00700EA2" w:rsidP="0048345B">
      <w:r>
        <w:separator/>
      </w:r>
    </w:p>
  </w:footnote>
  <w:footnote w:type="continuationSeparator" w:id="0">
    <w:p w14:paraId="746F73C2" w14:textId="77777777" w:rsidR="00700EA2" w:rsidRDefault="00700EA2" w:rsidP="00483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M4Y2Y5MDBjMTAyZjZiZTY1MzE4MDYxYzEwYzk2ZGEifQ=="/>
  </w:docVars>
  <w:rsids>
    <w:rsidRoot w:val="42D53048"/>
    <w:rsid w:val="00001D93"/>
    <w:rsid w:val="000227AD"/>
    <w:rsid w:val="000F1738"/>
    <w:rsid w:val="00280651"/>
    <w:rsid w:val="003E1FFE"/>
    <w:rsid w:val="003F5509"/>
    <w:rsid w:val="0048345B"/>
    <w:rsid w:val="006748BB"/>
    <w:rsid w:val="006A05A8"/>
    <w:rsid w:val="00700EA2"/>
    <w:rsid w:val="00707C77"/>
    <w:rsid w:val="00770AF0"/>
    <w:rsid w:val="008D60BF"/>
    <w:rsid w:val="009A2C8C"/>
    <w:rsid w:val="00B01E9F"/>
    <w:rsid w:val="00CD193D"/>
    <w:rsid w:val="00DD1DAB"/>
    <w:rsid w:val="00F23163"/>
    <w:rsid w:val="03074F92"/>
    <w:rsid w:val="05723279"/>
    <w:rsid w:val="0A983F6E"/>
    <w:rsid w:val="0B1D58FE"/>
    <w:rsid w:val="0CE44986"/>
    <w:rsid w:val="0CE918AA"/>
    <w:rsid w:val="0D9A0475"/>
    <w:rsid w:val="107821CE"/>
    <w:rsid w:val="11576580"/>
    <w:rsid w:val="144E4536"/>
    <w:rsid w:val="14ED1FA1"/>
    <w:rsid w:val="18DA2FD4"/>
    <w:rsid w:val="1F5B0A68"/>
    <w:rsid w:val="1F902194"/>
    <w:rsid w:val="20784E15"/>
    <w:rsid w:val="208512E0"/>
    <w:rsid w:val="209F6845"/>
    <w:rsid w:val="21C078C5"/>
    <w:rsid w:val="22A83271"/>
    <w:rsid w:val="28475C9F"/>
    <w:rsid w:val="318A0A64"/>
    <w:rsid w:val="37B26A07"/>
    <w:rsid w:val="3C4F5753"/>
    <w:rsid w:val="3E4F4455"/>
    <w:rsid w:val="3F292036"/>
    <w:rsid w:val="3FD80F7F"/>
    <w:rsid w:val="411B0182"/>
    <w:rsid w:val="42D53048"/>
    <w:rsid w:val="462E5DF2"/>
    <w:rsid w:val="462F1821"/>
    <w:rsid w:val="466E26B2"/>
    <w:rsid w:val="46D63D94"/>
    <w:rsid w:val="4B1055D4"/>
    <w:rsid w:val="4B83273C"/>
    <w:rsid w:val="4BF02A75"/>
    <w:rsid w:val="54E20E8F"/>
    <w:rsid w:val="559548EB"/>
    <w:rsid w:val="57C4203E"/>
    <w:rsid w:val="5D3D7574"/>
    <w:rsid w:val="5F0539D7"/>
    <w:rsid w:val="5F4104EC"/>
    <w:rsid w:val="62C341FF"/>
    <w:rsid w:val="6382143C"/>
    <w:rsid w:val="646903C9"/>
    <w:rsid w:val="667201B0"/>
    <w:rsid w:val="678E121C"/>
    <w:rsid w:val="726D27FD"/>
    <w:rsid w:val="777624CA"/>
    <w:rsid w:val="7AE334C6"/>
    <w:rsid w:val="7BC50200"/>
    <w:rsid w:val="7C7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7F88FC"/>
  <w15:docId w15:val="{E0B48D01-20F9-4502-ADD2-CEEB908F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Plain Tex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after="120"/>
    </w:pPr>
  </w:style>
  <w:style w:type="paragraph" w:styleId="a4">
    <w:name w:val="Plain Text"/>
    <w:basedOn w:val="a"/>
    <w:semiHidden/>
    <w:qFormat/>
    <w:pPr>
      <w:spacing w:line="360" w:lineRule="auto"/>
      <w:ind w:firstLineChars="200" w:firstLine="480"/>
    </w:pPr>
    <w:rPr>
      <w:rFonts w:ascii="仿宋_GB2312"/>
      <w:sz w:val="24"/>
    </w:rPr>
  </w:style>
  <w:style w:type="table" w:styleId="a5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4834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48345B"/>
    <w:rPr>
      <w:kern w:val="2"/>
      <w:sz w:val="18"/>
      <w:szCs w:val="18"/>
    </w:rPr>
  </w:style>
  <w:style w:type="paragraph" w:styleId="a8">
    <w:name w:val="footer"/>
    <w:basedOn w:val="a"/>
    <w:link w:val="a9"/>
    <w:rsid w:val="004834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48345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1227</Words>
  <Characters>2173</Characters>
  <Application>Microsoft Office Word</Application>
  <DocSecurity>0</DocSecurity>
  <Lines>362</Lines>
  <Paragraphs>161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Chaya</dc:creator>
  <cp:lastModifiedBy>Kaiyu Liu</cp:lastModifiedBy>
  <cp:revision>3</cp:revision>
  <dcterms:created xsi:type="dcterms:W3CDTF">2026-10-19T08:39:00Z</dcterms:created>
  <dcterms:modified xsi:type="dcterms:W3CDTF">2026-10-19T08:44:00Z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BEB42DE41D9F4568AC2334041BBFC0C0</vt:lpwstr>
  </property>
  <property fmtid="{D5CDD505-2E9C-101B-9397-08002B2CF9AE}" pid="4" name="KSOTemplateDocerSaveRecord">
    <vt:lpwstr>eyJoZGlkIjoiOGY0YjQ5ZjJmYzRhMmU1NzdjMGYwN2RlOWE1NTBkNTIiLCJ1c2VySWQiOiIxOTAwNDg5NTAxIn0=</vt:lpwstr>
  </property>
</Properties>
</file>